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2B4F" w14:textId="77777777" w:rsidR="00CD2BFB" w:rsidRDefault="00CD2BFB" w:rsidP="00CD2BFB">
      <w:pPr>
        <w:rPr>
          <w:rFonts w:ascii="Copperplate Gothic Bold" w:eastAsia="Batang" w:hAnsi="Copperplate Gothic Bold" w:cs="Arial"/>
          <w:b/>
          <w:color w:val="365F91"/>
          <w:sz w:val="48"/>
          <w:szCs w:val="48"/>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2700000" w14:scaled="0"/>
            </w14:gradFill>
          </w14:textFill>
        </w:rPr>
      </w:pPr>
    </w:p>
    <w:p w14:paraId="0300CF26" w14:textId="77777777" w:rsidR="00CD2BFB" w:rsidRDefault="00CD2BFB" w:rsidP="00CD2BFB">
      <w:pPr>
        <w:rPr>
          <w:rFonts w:ascii="Copperplate Gothic Bold" w:eastAsia="Batang" w:hAnsi="Copperplate Gothic Bold" w:cs="Arial"/>
          <w:b/>
          <w:color w:val="365F91"/>
          <w:sz w:val="48"/>
          <w:szCs w:val="48"/>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2700000" w14:scaled="0"/>
            </w14:gradFill>
          </w14:textFill>
        </w:rPr>
      </w:pPr>
    </w:p>
    <w:p w14:paraId="3080C5BF" w14:textId="77777777" w:rsidR="00CC30A5" w:rsidRPr="000E334D" w:rsidRDefault="00CC30A5" w:rsidP="00CC30A5">
      <w:pPr>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199761A3" w14:textId="77777777" w:rsidR="00CC30A5" w:rsidRPr="00246B58" w:rsidRDefault="00CC30A5" w:rsidP="00CC30A5">
      <w:pPr>
        <w:rPr>
          <w:rFonts w:ascii="Copperplate Gothic Bold" w:eastAsia="Batang" w:hAnsi="Copperplate Gothic Bold"/>
          <w:b/>
          <w:color w:val="002060"/>
          <w:sz w:val="48"/>
          <w:szCs w:val="48"/>
        </w:rPr>
      </w:pPr>
      <w:r w:rsidRPr="00246B58">
        <w:rPr>
          <w:rFonts w:ascii="Copperplate Gothic Bold" w:eastAsia="Batang" w:hAnsi="Copperplate Gothic Bold"/>
          <w:b/>
          <w:color w:val="002060"/>
          <w:sz w:val="48"/>
          <w:szCs w:val="48"/>
        </w:rPr>
        <w:t>CONVENTION DE RECRUTEMENT</w:t>
      </w:r>
    </w:p>
    <w:p w14:paraId="5F8962DC" w14:textId="77777777" w:rsidR="00CC30A5" w:rsidRPr="00246B58" w:rsidRDefault="00CC30A5" w:rsidP="00CC30A5">
      <w:pPr>
        <w:spacing w:line="254" w:lineRule="auto"/>
        <w:rPr>
          <w:rFonts w:ascii="Garamond" w:eastAsia="Batang" w:hAnsi="Garamond"/>
          <w:b/>
          <w:color w:val="002060"/>
          <w:sz w:val="24"/>
          <w:szCs w:val="24"/>
        </w:rPr>
      </w:pPr>
    </w:p>
    <w:p w14:paraId="34A2780D" w14:textId="44F3163D" w:rsidR="00CC30A5" w:rsidRPr="00246B58" w:rsidRDefault="00AB3E98" w:rsidP="00CC30A5">
      <w:pPr>
        <w:spacing w:line="254" w:lineRule="auto"/>
        <w:rPr>
          <w:rFonts w:ascii="Garamond" w:eastAsia="Batang" w:hAnsi="Garamond"/>
          <w:b/>
          <w:color w:val="002060"/>
          <w:sz w:val="24"/>
          <w:szCs w:val="24"/>
        </w:rPr>
      </w:pPr>
      <w:r>
        <w:rPr>
          <w:noProof/>
        </w:rPr>
        <mc:AlternateContent>
          <mc:Choice Requires="wps">
            <w:drawing>
              <wp:anchor distT="0" distB="0" distL="114300" distR="114300" simplePos="0" relativeHeight="251659264" behindDoc="0" locked="0" layoutInCell="1" allowOverlap="1" wp14:anchorId="7725B0C3" wp14:editId="374BC517">
                <wp:simplePos x="0" y="0"/>
                <wp:positionH relativeFrom="column">
                  <wp:posOffset>478155</wp:posOffset>
                </wp:positionH>
                <wp:positionV relativeFrom="paragraph">
                  <wp:posOffset>7620</wp:posOffset>
                </wp:positionV>
                <wp:extent cx="4660900" cy="190500"/>
                <wp:effectExtent l="0" t="0" r="6350" b="0"/>
                <wp:wrapNone/>
                <wp:docPr id="1" name="Rectangle 1"/>
                <wp:cNvGraphicFramePr/>
                <a:graphic xmlns:a="http://schemas.openxmlformats.org/drawingml/2006/main">
                  <a:graphicData uri="http://schemas.microsoft.com/office/word/2010/wordprocessingShape">
                    <wps:wsp>
                      <wps:cNvSpPr/>
                      <wps:spPr>
                        <a:xfrm>
                          <a:off x="0" y="0"/>
                          <a:ext cx="4660900" cy="190500"/>
                        </a:xfrm>
                        <a:prstGeom prst="rect">
                          <a:avLst/>
                        </a:prstGeom>
                        <a:solidFill>
                          <a:srgbClr val="0033CC"/>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A7528D0" id="Rectangle 1" o:spid="_x0000_s1026" style="position:absolute;margin-left:37.65pt;margin-top:.6pt;width:36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" fillcolor="#03c" stroked="f" strokeweight="1pt"/>
            </w:pict>
          </mc:Fallback>
        </mc:AlternateContent>
      </w:r>
    </w:p>
    <w:p w14:paraId="57E4544D" w14:textId="6E296420" w:rsidR="00CC30A5" w:rsidRPr="00246B58" w:rsidRDefault="00CC30A5" w:rsidP="00CC30A5">
      <w:pPr>
        <w:spacing w:line="254" w:lineRule="auto"/>
        <w:rPr>
          <w:rFonts w:ascii="Garamond" w:eastAsia="Batang" w:hAnsi="Garamond"/>
          <w:b/>
          <w:color w:val="002060"/>
          <w:sz w:val="24"/>
          <w:szCs w:val="24"/>
        </w:rPr>
      </w:pPr>
    </w:p>
    <w:p w14:paraId="6D82F60C" w14:textId="77777777" w:rsidR="00CC30A5" w:rsidRPr="00246B58" w:rsidRDefault="00CC30A5" w:rsidP="00CC30A5">
      <w:pPr>
        <w:spacing w:line="254" w:lineRule="auto"/>
        <w:rPr>
          <w:rFonts w:ascii="Garamond" w:eastAsia="Batang" w:hAnsi="Garamond"/>
          <w:b/>
          <w:color w:val="002060"/>
          <w:sz w:val="24"/>
          <w:szCs w:val="24"/>
        </w:rPr>
      </w:pPr>
    </w:p>
    <w:p w14:paraId="54260FA9" w14:textId="77777777" w:rsidR="00CC30A5" w:rsidRPr="00246B58" w:rsidRDefault="00CC30A5" w:rsidP="00CC30A5">
      <w:pPr>
        <w:spacing w:line="254" w:lineRule="auto"/>
        <w:rPr>
          <w:rFonts w:ascii="Garamond" w:eastAsia="Batang" w:hAnsi="Garamond"/>
          <w:b/>
          <w:color w:val="002060"/>
          <w:sz w:val="24"/>
          <w:szCs w:val="24"/>
        </w:rPr>
      </w:pPr>
    </w:p>
    <w:p w14:paraId="5333B669" w14:textId="77777777" w:rsidR="00CC30A5" w:rsidRPr="00246B58"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b/>
          <w:color w:val="002060"/>
          <w:sz w:val="24"/>
          <w:szCs w:val="24"/>
        </w:rPr>
      </w:pPr>
    </w:p>
    <w:p w14:paraId="01E9C931"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b/>
          <w:color w:val="002060"/>
          <w:sz w:val="24"/>
          <w:szCs w:val="24"/>
        </w:rPr>
      </w:pPr>
      <w:r w:rsidRPr="00AC38B3">
        <w:rPr>
          <w:rFonts w:ascii="Garamond" w:eastAsia="Batang" w:hAnsi="Garamond"/>
          <w:b/>
          <w:color w:val="002060"/>
          <w:sz w:val="24"/>
          <w:szCs w:val="24"/>
        </w:rPr>
        <w:t xml:space="preserve">ENTRE </w:t>
      </w:r>
    </w:p>
    <w:p w14:paraId="00D817A0"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p>
    <w:p w14:paraId="7D0EF8CA"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AC38B3">
        <w:rPr>
          <w:rFonts w:ascii="Garamond" w:eastAsia="Times New Roman" w:hAnsi="Garamond" w:cs="Times New Roman"/>
          <w:b/>
          <w:bCs/>
          <w:color w:val="002060"/>
          <w:sz w:val="24"/>
          <w:szCs w:val="24"/>
          <w:lang w:eastAsia="fr-FR"/>
        </w:rPr>
        <w:t>La Société XXX (exploitant la marque xxx)</w:t>
      </w:r>
    </w:p>
    <w:p w14:paraId="426B5FE7"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AC38B3">
        <w:rPr>
          <w:rFonts w:ascii="Garamond" w:eastAsia="Times New Roman" w:hAnsi="Garamond" w:cs="Times New Roman"/>
          <w:color w:val="002060"/>
          <w:sz w:val="24"/>
          <w:szCs w:val="24"/>
          <w:lang w:eastAsia="fr-FR"/>
        </w:rPr>
        <w:t xml:space="preserve">Immatriculée au RCS de </w:t>
      </w:r>
      <w:r w:rsidRPr="00AC38B3">
        <w:rPr>
          <w:rFonts w:ascii="Garamond" w:eastAsia="Times New Roman" w:hAnsi="Garamond" w:cs="Times New Roman"/>
          <w:color w:val="002060"/>
          <w:sz w:val="24"/>
          <w:szCs w:val="24"/>
          <w:highlight w:val="yellow"/>
          <w:lang w:eastAsia="fr-FR"/>
        </w:rPr>
        <w:t>XXX</w:t>
      </w:r>
      <w:r w:rsidRPr="00AC38B3">
        <w:rPr>
          <w:rFonts w:ascii="Garamond" w:eastAsia="Times New Roman" w:hAnsi="Garamond" w:cs="Times New Roman"/>
          <w:color w:val="002060"/>
          <w:sz w:val="24"/>
          <w:szCs w:val="24"/>
          <w:lang w:eastAsia="fr-FR"/>
        </w:rPr>
        <w:t xml:space="preserve"> sous le n°</w:t>
      </w:r>
    </w:p>
    <w:p w14:paraId="2C4AF7C3"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AC38B3">
        <w:rPr>
          <w:rFonts w:ascii="Garamond" w:eastAsia="Times New Roman" w:hAnsi="Garamond" w:cs="Times New Roman"/>
          <w:color w:val="002060"/>
          <w:sz w:val="24"/>
          <w:szCs w:val="24"/>
          <w:lang w:eastAsia="fr-FR"/>
        </w:rPr>
        <w:t xml:space="preserve">Dont le siège social est situé </w:t>
      </w:r>
      <w:r w:rsidRPr="00AC38B3">
        <w:rPr>
          <w:rFonts w:ascii="Garamond" w:eastAsia="Times New Roman" w:hAnsi="Garamond" w:cs="Times New Roman"/>
          <w:color w:val="002060"/>
          <w:sz w:val="24"/>
          <w:szCs w:val="24"/>
          <w:highlight w:val="yellow"/>
          <w:lang w:eastAsia="fr-FR"/>
        </w:rPr>
        <w:t>xxx</w:t>
      </w:r>
    </w:p>
    <w:p w14:paraId="530FBB52" w14:textId="1E9A3598"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AC38B3">
        <w:rPr>
          <w:rFonts w:ascii="Garamond" w:eastAsia="Times New Roman" w:hAnsi="Garamond" w:cs="Times New Roman"/>
          <w:color w:val="002060"/>
          <w:sz w:val="24"/>
          <w:szCs w:val="24"/>
          <w:lang w:eastAsia="fr-FR"/>
        </w:rPr>
        <w:t xml:space="preserve">Représentée par Monsieur, Madame </w:t>
      </w:r>
      <w:r w:rsidRPr="00AC38B3">
        <w:rPr>
          <w:rFonts w:ascii="Garamond" w:eastAsia="Times New Roman" w:hAnsi="Garamond" w:cs="Times New Roman"/>
          <w:color w:val="002060"/>
          <w:sz w:val="24"/>
          <w:szCs w:val="24"/>
          <w:highlight w:val="yellow"/>
          <w:lang w:eastAsia="fr-FR"/>
        </w:rPr>
        <w:t>XXX</w:t>
      </w:r>
      <w:r w:rsidRPr="00AC38B3">
        <w:rPr>
          <w:rFonts w:ascii="Garamond" w:eastAsia="Times New Roman" w:hAnsi="Garamond" w:cs="Times New Roman"/>
          <w:color w:val="002060"/>
          <w:sz w:val="24"/>
          <w:szCs w:val="24"/>
          <w:lang w:eastAsia="fr-FR"/>
        </w:rPr>
        <w:t xml:space="preserve"> en sa qualité de </w:t>
      </w:r>
      <w:r w:rsidRPr="00AC38B3">
        <w:rPr>
          <w:rFonts w:ascii="Garamond" w:eastAsia="Times New Roman" w:hAnsi="Garamond" w:cs="Times New Roman"/>
          <w:color w:val="002060"/>
          <w:sz w:val="24"/>
          <w:szCs w:val="24"/>
          <w:highlight w:val="yellow"/>
          <w:lang w:eastAsia="fr-FR"/>
        </w:rPr>
        <w:t>XXX</w:t>
      </w:r>
      <w:r w:rsidRPr="00AC38B3">
        <w:rPr>
          <w:rFonts w:ascii="Garamond" w:eastAsia="Times New Roman" w:hAnsi="Garamond" w:cs="Times New Roman"/>
          <w:color w:val="002060"/>
          <w:sz w:val="24"/>
          <w:szCs w:val="24"/>
          <w:lang w:eastAsia="fr-FR"/>
        </w:rPr>
        <w:t>, dûment habilitée à cet effet.</w:t>
      </w:r>
      <w:r w:rsidR="00AC38B3">
        <w:rPr>
          <w:rFonts w:ascii="Garamond" w:eastAsia="Times New Roman" w:hAnsi="Garamond" w:cs="Times New Roman"/>
          <w:color w:val="002060"/>
          <w:sz w:val="24"/>
          <w:szCs w:val="24"/>
          <w:lang w:eastAsia="fr-FR"/>
        </w:rPr>
        <w:t xml:space="preserve">         </w:t>
      </w:r>
    </w:p>
    <w:p w14:paraId="1D921D92"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09852948"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AC38B3">
        <w:rPr>
          <w:rFonts w:ascii="Garamond" w:eastAsia="Times New Roman" w:hAnsi="Garamond" w:cs="Times New Roman"/>
          <w:b/>
          <w:bCs/>
          <w:color w:val="002060"/>
          <w:sz w:val="24"/>
          <w:szCs w:val="24"/>
          <w:lang w:eastAsia="fr-FR"/>
        </w:rPr>
        <w:t xml:space="preserve">ET </w:t>
      </w:r>
    </w:p>
    <w:p w14:paraId="548D6E52" w14:textId="77777777"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50CE1E59" w14:textId="57AB4BBA"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AC38B3">
        <w:rPr>
          <w:rFonts w:ascii="Garamond" w:eastAsia="Times New Roman" w:hAnsi="Garamond" w:cs="Times New Roman"/>
          <w:b/>
          <w:bCs/>
          <w:color w:val="002060"/>
          <w:sz w:val="24"/>
          <w:szCs w:val="24"/>
          <w:lang w:eastAsia="fr-FR"/>
        </w:rPr>
        <w:t xml:space="preserve">La Société AQUANTIS </w:t>
      </w:r>
      <w:r w:rsidR="00DF2E1B" w:rsidRPr="00AC38B3">
        <w:rPr>
          <w:rFonts w:ascii="Garamond" w:eastAsia="Times New Roman" w:hAnsi="Garamond" w:cs="Times New Roman"/>
          <w:b/>
          <w:bCs/>
          <w:color w:val="002060"/>
          <w:sz w:val="24"/>
          <w:szCs w:val="24"/>
          <w:lang w:eastAsia="fr-FR"/>
        </w:rPr>
        <w:t>CONSULTING</w:t>
      </w:r>
    </w:p>
    <w:p w14:paraId="0E6F1F04" w14:textId="394C7B58"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AC38B3">
        <w:rPr>
          <w:rFonts w:ascii="Garamond" w:eastAsia="Times New Roman" w:hAnsi="Garamond" w:cs="Times New Roman"/>
          <w:color w:val="002060"/>
          <w:sz w:val="24"/>
          <w:szCs w:val="24"/>
          <w:lang w:eastAsia="fr-FR"/>
        </w:rPr>
        <w:t>Immatriculée au RCS de Nanterre sous le n°</w:t>
      </w:r>
      <w:r w:rsidR="008C5425">
        <w:rPr>
          <w:rFonts w:ascii="Garamond" w:eastAsia="Times New Roman" w:hAnsi="Garamond" w:cs="Times New Roman"/>
          <w:color w:val="002060"/>
          <w:sz w:val="24"/>
          <w:szCs w:val="24"/>
          <w:lang w:eastAsia="fr-FR"/>
        </w:rPr>
        <w:t xml:space="preserve"> </w:t>
      </w:r>
      <w:r w:rsidR="0036498E">
        <w:rPr>
          <w:rFonts w:ascii="Garamond" w:eastAsia="Times New Roman" w:hAnsi="Garamond" w:cs="Times New Roman"/>
          <w:color w:val="002060"/>
          <w:sz w:val="24"/>
          <w:szCs w:val="24"/>
          <w:lang w:eastAsia="fr-FR"/>
        </w:rPr>
        <w:t>512</w:t>
      </w:r>
      <w:r w:rsidRPr="00AC38B3">
        <w:rPr>
          <w:rFonts w:ascii="Garamond" w:eastAsia="Times New Roman" w:hAnsi="Garamond" w:cs="Times New Roman"/>
          <w:color w:val="002060"/>
          <w:sz w:val="24"/>
          <w:szCs w:val="24"/>
          <w:lang w:eastAsia="fr-FR"/>
        </w:rPr>
        <w:t> </w:t>
      </w:r>
      <w:r w:rsidR="008C5425">
        <w:rPr>
          <w:rFonts w:ascii="Garamond" w:eastAsia="Times New Roman" w:hAnsi="Garamond" w:cs="Times New Roman"/>
          <w:color w:val="002060"/>
          <w:sz w:val="24"/>
          <w:szCs w:val="24"/>
          <w:lang w:eastAsia="fr-FR"/>
        </w:rPr>
        <w:t>993</w:t>
      </w:r>
      <w:r w:rsidRPr="00AC38B3">
        <w:rPr>
          <w:rFonts w:ascii="Garamond" w:eastAsia="Times New Roman" w:hAnsi="Garamond" w:cs="Times New Roman"/>
          <w:color w:val="002060"/>
          <w:sz w:val="24"/>
          <w:szCs w:val="24"/>
          <w:lang w:eastAsia="fr-FR"/>
        </w:rPr>
        <w:t xml:space="preserve"> </w:t>
      </w:r>
      <w:r w:rsidR="008C5425">
        <w:rPr>
          <w:rFonts w:ascii="Garamond" w:eastAsia="Times New Roman" w:hAnsi="Garamond" w:cs="Times New Roman"/>
          <w:color w:val="002060"/>
          <w:sz w:val="24"/>
          <w:szCs w:val="24"/>
          <w:lang w:eastAsia="fr-FR"/>
        </w:rPr>
        <w:t>775</w:t>
      </w:r>
    </w:p>
    <w:p w14:paraId="58059865" w14:textId="7EB8F1E9" w:rsidR="00CC30A5" w:rsidRPr="00AC38B3" w:rsidRDefault="00CC30A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AC38B3">
        <w:rPr>
          <w:rFonts w:ascii="Garamond" w:eastAsia="Times New Roman" w:hAnsi="Garamond" w:cs="Times New Roman"/>
          <w:color w:val="002060"/>
          <w:sz w:val="24"/>
          <w:szCs w:val="24"/>
          <w:lang w:eastAsia="fr-FR"/>
        </w:rPr>
        <w:t>Dont le siège social est situé 45 rue Anatole France 92 300 Levallois Perret.</w:t>
      </w:r>
    </w:p>
    <w:p w14:paraId="182564AB" w14:textId="77777777" w:rsidR="000D1325" w:rsidRPr="00246B58" w:rsidRDefault="000D1325" w:rsidP="00AC38B3">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431C0263" w14:textId="77777777" w:rsidR="00CC30A5" w:rsidRPr="00246B58" w:rsidRDefault="00CC30A5" w:rsidP="00CC30A5">
      <w:pPr>
        <w:spacing w:line="254" w:lineRule="auto"/>
        <w:rPr>
          <w:color w:val="002060"/>
        </w:rPr>
      </w:pPr>
    </w:p>
    <w:p w14:paraId="60E14BE7" w14:textId="2C0AE648" w:rsidR="00CC30A5" w:rsidRDefault="00CC30A5" w:rsidP="00CC30A5">
      <w:pPr>
        <w:spacing w:line="254" w:lineRule="auto"/>
      </w:pPr>
    </w:p>
    <w:p w14:paraId="39311D8A" w14:textId="2C47189E" w:rsidR="005E0DF2" w:rsidRDefault="005E0DF2" w:rsidP="00CC30A5">
      <w:pPr>
        <w:spacing w:line="254" w:lineRule="auto"/>
      </w:pPr>
    </w:p>
    <w:p w14:paraId="3E8824F0" w14:textId="07FDE63B" w:rsidR="005E0DF2" w:rsidRDefault="005E0DF2" w:rsidP="00CC30A5">
      <w:pPr>
        <w:spacing w:line="254" w:lineRule="auto"/>
      </w:pPr>
    </w:p>
    <w:p w14:paraId="32760D26" w14:textId="77777777" w:rsidR="005E0DF2" w:rsidRPr="000E334D" w:rsidRDefault="005E0DF2" w:rsidP="00CC30A5">
      <w:pPr>
        <w:spacing w:line="254" w:lineRule="auto"/>
      </w:pPr>
    </w:p>
    <w:p w14:paraId="00BDA21D" w14:textId="77777777" w:rsidR="00CC30A5" w:rsidRPr="000E334D" w:rsidRDefault="00CC30A5" w:rsidP="00CC30A5">
      <w:pPr>
        <w:spacing w:line="254" w:lineRule="auto"/>
        <w:ind w:left="-709"/>
        <w:rPr>
          <w:rFonts w:ascii="Copperplate Gothic Bold" w:hAnsi="Copperplate Gothic Bold"/>
          <w:b/>
          <w:color w:val="10426F"/>
          <w:sz w:val="24"/>
          <w:szCs w:val="24"/>
        </w:rPr>
      </w:pPr>
    </w:p>
    <w:p w14:paraId="1F5564CA" w14:textId="6361CFE4" w:rsidR="003859A8" w:rsidRPr="000E334D" w:rsidRDefault="00CC30A5" w:rsidP="003859A8">
      <w:pPr>
        <w:spacing w:line="254" w:lineRule="auto"/>
        <w:ind w:left="-709"/>
        <w:rPr>
          <w:rFonts w:ascii="Copperplate Gothic Bold" w:hAnsi="Copperplate Gothic Bold"/>
          <w:b/>
          <w:color w:val="2E74B5" w:themeColor="accent1" w:themeShade="BF"/>
          <w:sz w:val="24"/>
          <w:szCs w:val="24"/>
        </w:rPr>
      </w:pPr>
      <w:r w:rsidRPr="00246B58">
        <w:rPr>
          <w:rFonts w:ascii="Copperplate Gothic Bold" w:hAnsi="Copperplate Gothic Bold"/>
          <w:b/>
          <w:color w:val="002060"/>
          <w:sz w:val="24"/>
          <w:szCs w:val="24"/>
        </w:rPr>
        <w:t xml:space="preserve">Présentation de l’entreprise </w:t>
      </w:r>
      <w:r w:rsidR="003859A8">
        <w:rPr>
          <w:rFonts w:ascii="Copperplate Gothic Bold" w:hAnsi="Copperplate Gothic Bold"/>
          <w:b/>
          <w:noProof/>
          <w:color w:val="002060"/>
          <w:sz w:val="24"/>
          <w:szCs w:val="24"/>
        </w:rPr>
        <w:drawing>
          <wp:inline distT="0" distB="0" distL="0" distR="0" wp14:anchorId="719674BA" wp14:editId="1373FA9B">
            <wp:extent cx="6400165" cy="9525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165" cy="95250"/>
                    </a:xfrm>
                    <a:prstGeom prst="rect">
                      <a:avLst/>
                    </a:prstGeom>
                    <a:noFill/>
                  </pic:spPr>
                </pic:pic>
              </a:graphicData>
            </a:graphic>
          </wp:inline>
        </w:drawing>
      </w:r>
    </w:p>
    <w:p w14:paraId="2A256A04" w14:textId="77777777" w:rsidR="00CC30A5" w:rsidRPr="000E334D" w:rsidRDefault="00CC30A5" w:rsidP="00CC30A5">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hAnsi="Palatino Linotype" w:cs="Calibri"/>
          <w:sz w:val="20"/>
          <w:szCs w:val="20"/>
        </w:rPr>
        <w:t>FIRST FINANCE, leader de la formation et de la certification en Finance et en Digital Learning, forme plus de 30 000 personnes par an en France et à l’international.</w:t>
      </w:r>
    </w:p>
    <w:p w14:paraId="7860E0C2" w14:textId="77777777" w:rsidR="00CC30A5" w:rsidRPr="000E334D" w:rsidRDefault="00CC30A5" w:rsidP="00CC30A5">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eastAsia="Times New Roman" w:hAnsi="Palatino Linotype" w:cs="Helvetica"/>
          <w:sz w:val="20"/>
          <w:szCs w:val="20"/>
        </w:rPr>
        <w:t>Basé à Paris et présent également à Hong-Kong,</w:t>
      </w:r>
      <w:r w:rsidRPr="000E334D">
        <w:rPr>
          <w:rFonts w:ascii="Palatino Linotype" w:hAnsi="Palatino Linotype" w:cs="Calibri"/>
          <w:sz w:val="20"/>
          <w:szCs w:val="20"/>
        </w:rPr>
        <w:t xml:space="preserve"> FIRST FINANCE s’appuie sur son expertise reconnue pour accompagner ses 700 clients (</w:t>
      </w:r>
      <w:proofErr w:type="spellStart"/>
      <w:r w:rsidRPr="000E334D">
        <w:rPr>
          <w:rFonts w:ascii="Palatino Linotype" w:hAnsi="Palatino Linotype" w:cs="Calibri"/>
          <w:sz w:val="20"/>
          <w:szCs w:val="20"/>
        </w:rPr>
        <w:t>Corporates</w:t>
      </w:r>
      <w:proofErr w:type="spellEnd"/>
      <w:r w:rsidRPr="000E334D">
        <w:rPr>
          <w:rFonts w:ascii="Palatino Linotype" w:hAnsi="Palatino Linotype" w:cs="Calibri"/>
          <w:sz w:val="20"/>
          <w:szCs w:val="20"/>
        </w:rPr>
        <w:t>, établissements bancaires, sociétés de gestion, compagnie d’assurance...).</w:t>
      </w:r>
    </w:p>
    <w:p w14:paraId="379B735B" w14:textId="77777777" w:rsidR="00CC30A5" w:rsidRPr="000E334D" w:rsidRDefault="00CC30A5" w:rsidP="00CC30A5">
      <w:pPr>
        <w:spacing w:line="254" w:lineRule="auto"/>
        <w:ind w:left="-709" w:right="-851"/>
        <w:jc w:val="both"/>
        <w:rPr>
          <w:rFonts w:ascii="Copperplate Gothic Bold" w:hAnsi="Copperplate Gothic Bold"/>
          <w:b/>
          <w:color w:val="2E74B5" w:themeColor="accent1" w:themeShade="BF"/>
          <w:sz w:val="24"/>
          <w:szCs w:val="24"/>
        </w:rPr>
      </w:pPr>
    </w:p>
    <w:p w14:paraId="1B4F7939" w14:textId="5E00A121" w:rsidR="003859A8" w:rsidRPr="000E334D" w:rsidRDefault="00CC30A5" w:rsidP="00B62489">
      <w:pPr>
        <w:spacing w:line="254" w:lineRule="auto"/>
        <w:ind w:left="-709" w:right="-851"/>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t>Définition du poste recherché</w:t>
      </w:r>
      <w:bookmarkStart w:id="0" w:name="_Hlk106793552"/>
      <w:r w:rsidR="003859A8">
        <w:rPr>
          <w:rFonts w:ascii="Copperplate Gothic Bold" w:hAnsi="Copperplate Gothic Bold"/>
          <w:b/>
          <w:noProof/>
          <w:color w:val="2E74B5" w:themeColor="accent1" w:themeShade="BF"/>
          <w:sz w:val="24"/>
          <w:szCs w:val="24"/>
        </w:rPr>
        <w:drawing>
          <wp:inline distT="0" distB="0" distL="0" distR="0" wp14:anchorId="418AF0BA" wp14:editId="2409BEAC">
            <wp:extent cx="6400165" cy="9525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165" cy="95250"/>
                    </a:xfrm>
                    <a:prstGeom prst="rect">
                      <a:avLst/>
                    </a:prstGeom>
                    <a:noFill/>
                  </pic:spPr>
                </pic:pic>
              </a:graphicData>
            </a:graphic>
          </wp:inline>
        </w:drawing>
      </w:r>
    </w:p>
    <w:bookmarkEnd w:id="0"/>
    <w:p w14:paraId="28E73AD3" w14:textId="77777777" w:rsidR="00CC30A5" w:rsidRPr="000E334D" w:rsidRDefault="00CC30A5" w:rsidP="00CC30A5">
      <w:pPr>
        <w:spacing w:before="100" w:after="75"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bCs/>
          <w:sz w:val="20"/>
          <w:szCs w:val="20"/>
          <w:lang w:eastAsia="fr-FR"/>
        </w:rPr>
        <w:t xml:space="preserve">Comptable général </w:t>
      </w:r>
      <w:r w:rsidRPr="000E334D">
        <w:rPr>
          <w:rFonts w:ascii="Palatino Linotype" w:eastAsia="Times New Roman" w:hAnsi="Palatino Linotype" w:cs="Times New Roman"/>
          <w:b/>
          <w:sz w:val="20"/>
          <w:szCs w:val="20"/>
          <w:lang w:eastAsia="fr-FR"/>
        </w:rPr>
        <w:t>(H/F) – CDI</w:t>
      </w:r>
    </w:p>
    <w:p w14:paraId="49C88313" w14:textId="77777777" w:rsidR="00CC30A5" w:rsidRPr="000E334D" w:rsidRDefault="00CC30A5" w:rsidP="00CC30A5">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Poste et missions</w:t>
      </w:r>
    </w:p>
    <w:p w14:paraId="2C594240" w14:textId="77777777" w:rsidR="00CC30A5" w:rsidRPr="000E334D" w:rsidRDefault="00CC30A5" w:rsidP="00CC30A5">
      <w:pPr>
        <w:spacing w:after="150" w:line="254" w:lineRule="auto"/>
        <w:jc w:val="both"/>
        <w:rPr>
          <w:rFonts w:ascii="Palatino Linotype" w:eastAsia="MS Mincho" w:hAnsi="Palatino Linotype"/>
          <w:sz w:val="20"/>
          <w:szCs w:val="20"/>
          <w:lang w:eastAsia="ja-JP"/>
        </w:rPr>
      </w:pPr>
      <w:r w:rsidRPr="000E334D">
        <w:rPr>
          <w:rFonts w:ascii="Palatino Linotype" w:eastAsia="MS Mincho" w:hAnsi="Palatino Linotype"/>
          <w:sz w:val="20"/>
          <w:szCs w:val="20"/>
          <w:lang w:eastAsia="ja-JP"/>
        </w:rPr>
        <w:t xml:space="preserve">Au sein du pôle Statistiques et Performance, vos missions principales seront les suivantes : </w:t>
      </w:r>
    </w:p>
    <w:p w14:paraId="774F5CA0" w14:textId="77777777" w:rsidR="00CC30A5" w:rsidRPr="000E334D" w:rsidRDefault="00CC30A5" w:rsidP="00CC30A5">
      <w:pPr>
        <w:numPr>
          <w:ilvl w:val="0"/>
          <w:numId w:val="8"/>
        </w:numPr>
        <w:shd w:val="clear" w:color="auto" w:fill="FFFFFF"/>
        <w:autoSpaceDN w:val="0"/>
        <w:spacing w:after="12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des études statistiques, des simulations et projections afin de répondre aux besoins de l’activité et d’éclairer les prises de décision stratégiques et organisationnelles ;</w:t>
      </w:r>
    </w:p>
    <w:p w14:paraId="3AA15BFD" w14:textId="77777777" w:rsidR="00CC30A5" w:rsidRPr="000E334D" w:rsidRDefault="00CC30A5" w:rsidP="00CC30A5">
      <w:pPr>
        <w:numPr>
          <w:ilvl w:val="0"/>
          <w:numId w:val="8"/>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Répondre aux demandes d’extraction et d’analyse de données de la part des clients internes ;</w:t>
      </w:r>
    </w:p>
    <w:p w14:paraId="5B52C81C" w14:textId="77777777" w:rsidR="00CC30A5" w:rsidRPr="000E334D" w:rsidRDefault="00CC30A5" w:rsidP="00CC30A5">
      <w:pPr>
        <w:numPr>
          <w:ilvl w:val="0"/>
          <w:numId w:val="8"/>
        </w:numPr>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 xml:space="preserve">Participer au développement de nouveaux indicateurs, de tableaux de bord et </w:t>
      </w:r>
      <w:proofErr w:type="spellStart"/>
      <w:r w:rsidRPr="000E334D">
        <w:rPr>
          <w:rFonts w:ascii="Palatino Linotype" w:eastAsia="Arial" w:hAnsi="Palatino Linotype"/>
          <w:sz w:val="20"/>
          <w:szCs w:val="20"/>
        </w:rPr>
        <w:t>reportings</w:t>
      </w:r>
      <w:proofErr w:type="spellEnd"/>
      <w:r w:rsidRPr="000E334D">
        <w:rPr>
          <w:rFonts w:ascii="Palatino Linotype" w:eastAsia="Arial" w:hAnsi="Palatino Linotype"/>
          <w:sz w:val="20"/>
          <w:szCs w:val="20"/>
        </w:rPr>
        <w:t xml:space="preserve"> périodiques de pilotage de l’activité ;</w:t>
      </w:r>
    </w:p>
    <w:p w14:paraId="11D3B3CA" w14:textId="77777777" w:rsidR="00CC30A5" w:rsidRPr="000E334D" w:rsidRDefault="00CC30A5" w:rsidP="00CC30A5">
      <w:pPr>
        <w:numPr>
          <w:ilvl w:val="0"/>
          <w:numId w:val="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 xml:space="preserve">Concevoir des modèles de </w:t>
      </w:r>
      <w:proofErr w:type="spellStart"/>
      <w:r w:rsidRPr="000E334D">
        <w:rPr>
          <w:rFonts w:ascii="Palatino Linotype" w:eastAsia="Arial" w:hAnsi="Palatino Linotype"/>
          <w:sz w:val="20"/>
          <w:szCs w:val="20"/>
        </w:rPr>
        <w:t>scoring</w:t>
      </w:r>
      <w:proofErr w:type="spellEnd"/>
      <w:r w:rsidRPr="000E334D">
        <w:rPr>
          <w:rFonts w:ascii="Palatino Linotype" w:eastAsia="Arial" w:hAnsi="Palatino Linotype"/>
          <w:sz w:val="20"/>
          <w:szCs w:val="20"/>
        </w:rPr>
        <w:t xml:space="preserve"> et d’analyses multi-dimensionnelles </w:t>
      </w:r>
    </w:p>
    <w:p w14:paraId="01A50927" w14:textId="77777777" w:rsidR="00CC30A5" w:rsidRPr="000E334D" w:rsidRDefault="00CC30A5" w:rsidP="00CC30A5">
      <w:pPr>
        <w:numPr>
          <w:ilvl w:val="0"/>
          <w:numId w:val="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Participer au développement et à la maintenance d'outils d'évaluation ;</w:t>
      </w:r>
    </w:p>
    <w:p w14:paraId="335CDC8F" w14:textId="77777777" w:rsidR="00CC30A5" w:rsidRPr="000E334D" w:rsidRDefault="00CC30A5" w:rsidP="00CC30A5">
      <w:pPr>
        <w:numPr>
          <w:ilvl w:val="0"/>
          <w:numId w:val="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Contribuer à la rédaction de nos publications externes : « Les chiffres AGS », le rapport d’activité annuel ;</w:t>
      </w:r>
    </w:p>
    <w:p w14:paraId="0C86270E" w14:textId="77777777" w:rsidR="00CC30A5" w:rsidRPr="000E334D" w:rsidRDefault="00CC30A5" w:rsidP="00CC30A5">
      <w:pPr>
        <w:numPr>
          <w:ilvl w:val="0"/>
          <w:numId w:val="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Collaborer avec des interlocuteurs externes (ex. UNEDIC, REXECODE…) ;</w:t>
      </w:r>
    </w:p>
    <w:p w14:paraId="1194FF8B" w14:textId="77777777" w:rsidR="00CC30A5" w:rsidRPr="000E334D" w:rsidRDefault="00CC30A5" w:rsidP="00CC30A5">
      <w:pPr>
        <w:numPr>
          <w:ilvl w:val="0"/>
          <w:numId w:val="9"/>
        </w:numPr>
        <w:shd w:val="clear" w:color="auto" w:fill="FFFFFF"/>
        <w:autoSpaceDN w:val="0"/>
        <w:spacing w:before="2"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la veille documentaire sur l’actualité économique.</w:t>
      </w:r>
    </w:p>
    <w:p w14:paraId="1C1C4337" w14:textId="77777777" w:rsidR="00CC30A5" w:rsidRPr="000E334D" w:rsidRDefault="00CC30A5" w:rsidP="00CC30A5">
      <w:pPr>
        <w:spacing w:before="100" w:after="100" w:line="240" w:lineRule="auto"/>
        <w:ind w:left="-709" w:right="-851"/>
        <w:rPr>
          <w:rFonts w:ascii="Palatino Linotype" w:eastAsia="Times New Roman" w:hAnsi="Palatino Linotype" w:cs="Times New Roman"/>
          <w:b/>
          <w:sz w:val="20"/>
          <w:szCs w:val="20"/>
          <w:lang w:eastAsia="fr-FR"/>
        </w:rPr>
      </w:pPr>
    </w:p>
    <w:p w14:paraId="034B4A4C" w14:textId="77777777" w:rsidR="00CC30A5" w:rsidRPr="000E334D" w:rsidRDefault="00CC30A5" w:rsidP="00CC30A5">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Profil recherché</w:t>
      </w:r>
    </w:p>
    <w:p w14:paraId="7A6DEF01" w14:textId="77777777" w:rsidR="00CC30A5" w:rsidRPr="000E334D" w:rsidRDefault="00CC30A5" w:rsidP="00CC30A5">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De formation supérieure en statistiques et/ou mathématiques appliquées et/ou économétrie de type BAC +4 minimum, vous justifiez d’une expérience de 3 ans minimum dans une fonction similaire.</w:t>
      </w:r>
    </w:p>
    <w:p w14:paraId="6676F40F" w14:textId="77777777" w:rsidR="00CC30A5" w:rsidRPr="000E334D" w:rsidRDefault="00CC30A5" w:rsidP="00CC30A5">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 xml:space="preserve">Vous êtes doté d'un bon sens de la communication et d'une capacité à prendre des initiatives. </w:t>
      </w:r>
    </w:p>
    <w:p w14:paraId="7C7DD1F7" w14:textId="77777777" w:rsidR="00CC30A5" w:rsidRPr="000E334D" w:rsidRDefault="00CC30A5" w:rsidP="00CC30A5">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Vous êtes force de proposition, aimez travailler en équipe et en mode projet.</w:t>
      </w:r>
    </w:p>
    <w:p w14:paraId="01ECEDDD" w14:textId="77777777" w:rsidR="00CC30A5" w:rsidRPr="000E334D" w:rsidRDefault="00CC30A5" w:rsidP="00CC30A5">
      <w:pPr>
        <w:spacing w:after="150" w:line="276" w:lineRule="auto"/>
        <w:jc w:val="both"/>
        <w:rPr>
          <w:rFonts w:ascii="Palatino Linotype" w:hAnsi="Palatino Linotype" w:cs="Helvetica"/>
          <w:sz w:val="20"/>
          <w:szCs w:val="20"/>
        </w:rPr>
      </w:pPr>
    </w:p>
    <w:p w14:paraId="796DF7F2" w14:textId="77777777" w:rsidR="00CC30A5" w:rsidRPr="000E334D" w:rsidRDefault="00CC30A5" w:rsidP="00CC30A5">
      <w:pPr>
        <w:spacing w:after="150" w:line="276" w:lineRule="auto"/>
        <w:jc w:val="both"/>
        <w:rPr>
          <w:rFonts w:ascii="Palatino Linotype" w:hAnsi="Palatino Linotype" w:cs="Helvetica"/>
          <w:sz w:val="20"/>
          <w:szCs w:val="20"/>
        </w:rPr>
      </w:pPr>
    </w:p>
    <w:p w14:paraId="0ACDF5C2" w14:textId="77777777" w:rsidR="00CC30A5" w:rsidRDefault="00CC30A5" w:rsidP="00CC30A5">
      <w:pPr>
        <w:spacing w:after="150" w:line="276" w:lineRule="auto"/>
        <w:jc w:val="both"/>
        <w:rPr>
          <w:rFonts w:ascii="Palatino Linotype" w:hAnsi="Palatino Linotype" w:cs="Helvetica"/>
          <w:sz w:val="20"/>
          <w:szCs w:val="20"/>
        </w:rPr>
      </w:pPr>
    </w:p>
    <w:p w14:paraId="1A59BAD1" w14:textId="77777777" w:rsidR="00CC30A5" w:rsidRDefault="00CC30A5" w:rsidP="00CC30A5">
      <w:pPr>
        <w:spacing w:after="150" w:line="276" w:lineRule="auto"/>
        <w:jc w:val="both"/>
        <w:rPr>
          <w:rFonts w:ascii="Palatino Linotype" w:hAnsi="Palatino Linotype" w:cs="Helvetica"/>
          <w:sz w:val="20"/>
          <w:szCs w:val="20"/>
        </w:rPr>
      </w:pPr>
    </w:p>
    <w:p w14:paraId="7F60A542" w14:textId="77777777" w:rsidR="00CC30A5" w:rsidRDefault="00CC30A5" w:rsidP="00CC30A5">
      <w:pPr>
        <w:spacing w:after="150" w:line="276" w:lineRule="auto"/>
        <w:jc w:val="both"/>
        <w:rPr>
          <w:rFonts w:ascii="Palatino Linotype" w:hAnsi="Palatino Linotype" w:cs="Helvetica"/>
          <w:sz w:val="20"/>
          <w:szCs w:val="20"/>
        </w:rPr>
      </w:pPr>
    </w:p>
    <w:p w14:paraId="39B0E42A" w14:textId="77777777" w:rsidR="00CC30A5" w:rsidRPr="000E334D" w:rsidRDefault="00CC30A5" w:rsidP="00CC30A5">
      <w:pPr>
        <w:spacing w:after="150" w:line="276" w:lineRule="auto"/>
        <w:jc w:val="both"/>
        <w:rPr>
          <w:rFonts w:ascii="Palatino Linotype" w:hAnsi="Palatino Linotype" w:cs="Helvetica"/>
          <w:sz w:val="20"/>
          <w:szCs w:val="20"/>
        </w:rPr>
      </w:pPr>
    </w:p>
    <w:p w14:paraId="522DFD97" w14:textId="77777777" w:rsidR="00CC30A5" w:rsidRPr="000E334D" w:rsidRDefault="00CC30A5" w:rsidP="00CC30A5">
      <w:pPr>
        <w:spacing w:line="254" w:lineRule="auto"/>
        <w:ind w:left="-709" w:right="-851"/>
        <w:jc w:val="both"/>
        <w:rPr>
          <w:rFonts w:ascii="Copperplate Gothic Bold" w:hAnsi="Copperplate Gothic Bold"/>
          <w:b/>
          <w:color w:val="2E74B5" w:themeColor="accent1" w:themeShade="BF"/>
          <w:sz w:val="24"/>
          <w:szCs w:val="24"/>
        </w:rPr>
      </w:pPr>
    </w:p>
    <w:p w14:paraId="0A1706BF" w14:textId="30753190" w:rsidR="003859A8" w:rsidRPr="000E334D" w:rsidRDefault="00CC30A5" w:rsidP="002C310B">
      <w:pPr>
        <w:spacing w:line="254" w:lineRule="auto"/>
        <w:ind w:left="-709" w:right="-851"/>
        <w:rPr>
          <w:rFonts w:ascii="Copperplate Gothic Bold" w:hAnsi="Copperplate Gothic Bold"/>
          <w:b/>
          <w:color w:val="10426F"/>
          <w:sz w:val="24"/>
          <w:szCs w:val="24"/>
        </w:rPr>
      </w:pPr>
      <w:r w:rsidRPr="000E334D">
        <w:rPr>
          <w:rFonts w:ascii="Copperplate Gothic Bold" w:hAnsi="Copperplate Gothic Bold"/>
          <w:b/>
          <w:color w:val="10426F"/>
          <w:sz w:val="24"/>
          <w:szCs w:val="24"/>
        </w:rPr>
        <w:lastRenderedPageBreak/>
        <w:t>Conditions générales</w:t>
      </w:r>
      <w:r w:rsidR="003859A8">
        <w:rPr>
          <w:rFonts w:ascii="Copperplate Gothic Bold" w:hAnsi="Copperplate Gothic Bold"/>
          <w:b/>
          <w:noProof/>
          <w:color w:val="10426F"/>
          <w:sz w:val="24"/>
          <w:szCs w:val="24"/>
        </w:rPr>
        <w:drawing>
          <wp:inline distT="0" distB="0" distL="0" distR="0" wp14:anchorId="5D30BB24" wp14:editId="77E932EB">
            <wp:extent cx="6400165" cy="952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165" cy="95250"/>
                    </a:xfrm>
                    <a:prstGeom prst="rect">
                      <a:avLst/>
                    </a:prstGeom>
                    <a:noFill/>
                  </pic:spPr>
                </pic:pic>
              </a:graphicData>
            </a:graphic>
          </wp:inline>
        </w:drawing>
      </w:r>
    </w:p>
    <w:p w14:paraId="1D2C6D42"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Présentation &amp; Déontologie</w:t>
      </w:r>
    </w:p>
    <w:p w14:paraId="4C68353F" w14:textId="77777777" w:rsidR="00CC30A5" w:rsidRPr="000E334D" w:rsidRDefault="00CC30A5" w:rsidP="00CC30A5">
      <w:pPr>
        <w:spacing w:line="254" w:lineRule="auto"/>
        <w:ind w:left="-709" w:right="-851"/>
        <w:jc w:val="both"/>
        <w:rPr>
          <w:rFonts w:ascii="Palatino Linotype" w:hAnsi="Palatino Linotype"/>
          <w:b/>
          <w:sz w:val="20"/>
          <w:szCs w:val="20"/>
        </w:rPr>
      </w:pPr>
    </w:p>
    <w:p w14:paraId="54CF9B89" w14:textId="3F32160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r>
        <w:rPr>
          <w:rFonts w:ascii="Palatino Linotype" w:hAnsi="Palatino Linotype"/>
          <w:sz w:val="20"/>
          <w:szCs w:val="20"/>
        </w:rPr>
        <w:t>CONSULTING</w:t>
      </w:r>
      <w:r w:rsidRPr="000E334D">
        <w:rPr>
          <w:rFonts w:ascii="Palatino Linotype" w:hAnsi="Palatino Linotype"/>
          <w:sz w:val="20"/>
          <w:szCs w:val="20"/>
        </w:rPr>
        <w:t xml:space="preserve"> est un cabinet de recrutement à taille humaine, français et indépendant privilégiant les relations à long terme et la construction de partenariats avec ses clients mais aussi avec ses candidats. Soucieux de maintenir un standard élevé de qualité, nous acceptons uniquement les missions de recrutement correspondant à nos domaines de compétences.</w:t>
      </w:r>
    </w:p>
    <w:p w14:paraId="3B8EB4F4"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Convaincus que chaque recrutement est unique, nous vous assurons un interlocuteur dédié tout au long de la mission. Nous nous engageons également à vous informer régulièrement de l’état d’avancement de nos recherches. </w:t>
      </w:r>
    </w:p>
    <w:p w14:paraId="6CC0DAD7"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Notre cabinet travaille en conformité avec les règles de déontologie de notre profession et les dispositions légales en matière de traitement des données personnelles des candidats afin de prévenir tout risque de discrimination. A ce titre, le terme candidat employé est générique.</w:t>
      </w:r>
    </w:p>
    <w:p w14:paraId="3D986104"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Toutes les informations reçues des entreprises et des candidats sont considérées comme rigoureusement confidentielles.</w:t>
      </w:r>
    </w:p>
    <w:p w14:paraId="19CEBA7C"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Engagement sur le niveau de service proposé</w:t>
      </w:r>
    </w:p>
    <w:p w14:paraId="2AD4ED55" w14:textId="77777777" w:rsidR="00CC30A5" w:rsidRPr="000E334D" w:rsidRDefault="00CC30A5" w:rsidP="00CC30A5">
      <w:pPr>
        <w:spacing w:line="254" w:lineRule="auto"/>
        <w:ind w:left="-709" w:right="-851"/>
        <w:jc w:val="both"/>
        <w:rPr>
          <w:rFonts w:ascii="Palatino Linotype" w:hAnsi="Palatino Linotype"/>
          <w:b/>
          <w:sz w:val="20"/>
          <w:szCs w:val="20"/>
        </w:rPr>
      </w:pPr>
    </w:p>
    <w:p w14:paraId="45A197E4" w14:textId="586E46C3"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bookmarkStart w:id="1" w:name="_Hlk106799530"/>
      <w:r>
        <w:rPr>
          <w:rFonts w:ascii="Palatino Linotype" w:hAnsi="Palatino Linotype"/>
          <w:sz w:val="20"/>
          <w:szCs w:val="20"/>
        </w:rPr>
        <w:t>Consulting</w:t>
      </w:r>
      <w:bookmarkEnd w:id="1"/>
      <w:r w:rsidRPr="000E334D">
        <w:rPr>
          <w:rFonts w:ascii="Palatino Linotype" w:hAnsi="Palatino Linotype"/>
          <w:sz w:val="20"/>
          <w:szCs w:val="20"/>
        </w:rPr>
        <w:t xml:space="preserve"> s’engage à réaliser ses services selon les meilleurs standards de la profession tant en termes de déontologie que d’actions nécessaires au respect des engagements pris pour la réalisation des prestations. Nous garantissons que ces prestations seront effectuées par du personnel qualifié, intervenant chacun dans leur domaine d’expertise.</w:t>
      </w:r>
    </w:p>
    <w:p w14:paraId="634CE0A4"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Nous nous engageons à proposer au Client des profils parfaitement adaptés à ses exigences et besoins.</w:t>
      </w:r>
    </w:p>
    <w:p w14:paraId="1752D31D"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Le Client demeure cependant responsable de valider l’aptitude technique et comptable (ou financière ou juridique selon le profil recherché) du candidat et devra faire procéder à toutes les vérifications, formalités et examens médicaux exigés lors de l’embauche.</w:t>
      </w:r>
    </w:p>
    <w:p w14:paraId="5F79C9B6" w14:textId="32604842"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r w:rsidRPr="00CC30A5">
        <w:rPr>
          <w:rFonts w:ascii="Palatino Linotype" w:hAnsi="Palatino Linotype"/>
          <w:sz w:val="20"/>
          <w:szCs w:val="20"/>
        </w:rPr>
        <w:t xml:space="preserve">Consulting </w:t>
      </w:r>
      <w:r w:rsidRPr="000E334D">
        <w:rPr>
          <w:rFonts w:ascii="Palatino Linotype" w:hAnsi="Palatino Linotype"/>
          <w:sz w:val="20"/>
          <w:szCs w:val="20"/>
        </w:rPr>
        <w:t>mettra en œuvre l’ensemble des moyens mis à sa disposition pour vérifier l’aptitude des candidats présentés au Client et maintenir une haute qualité de service et de professionnalisme mais elle ne peut garantir expressément ou implicitement l’aptitude total des candidats présentés au Client, les vérifications finales incombant à ce dernier. </w:t>
      </w:r>
    </w:p>
    <w:p w14:paraId="5E3C4493" w14:textId="77777777" w:rsidR="00CC30A5" w:rsidRPr="000E334D" w:rsidRDefault="00CC30A5" w:rsidP="00CC30A5">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        Contenu des prestations</w:t>
      </w:r>
    </w:p>
    <w:p w14:paraId="491FA61A"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Analyse détaillée du poste, compréhension des attentes et des enjeux du poste à pourvoir ;</w:t>
      </w:r>
    </w:p>
    <w:p w14:paraId="5E340018"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Recherche des candidats via différents canaux (CV thèques, réseaux sociaux et professionnels, partenaires locaux, base interne) ;</w:t>
      </w:r>
    </w:p>
    <w:p w14:paraId="0BF491F5"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Publication d’annonces sur l’ensemble de nos réseaux partenaires (sauf contre-indication Client) ;</w:t>
      </w:r>
      <w:r>
        <w:rPr>
          <w:rFonts w:ascii="Palatino Linotype" w:hAnsi="Palatino Linotype" w:cs="Calibri"/>
          <w:sz w:val="20"/>
          <w:szCs w:val="20"/>
        </w:rPr>
        <w:t xml:space="preserve"> </w:t>
      </w:r>
      <w:r w:rsidRPr="000E334D">
        <w:rPr>
          <w:rFonts w:ascii="Palatino Linotype" w:hAnsi="Palatino Linotype" w:cs="Calibri"/>
          <w:sz w:val="20"/>
          <w:szCs w:val="20"/>
        </w:rPr>
        <w:t xml:space="preserve">Entretien physique systématique ou à défaut par vidéoconférence, préalable impératif à la présentation du candidat au Client en vue d'un entretien Client (appréciation des hard </w:t>
      </w:r>
      <w:proofErr w:type="spellStart"/>
      <w:r w:rsidRPr="000E334D">
        <w:rPr>
          <w:rFonts w:ascii="Palatino Linotype" w:hAnsi="Palatino Linotype" w:cs="Calibri"/>
          <w:sz w:val="20"/>
          <w:szCs w:val="20"/>
        </w:rPr>
        <w:t>skills</w:t>
      </w:r>
      <w:proofErr w:type="spellEnd"/>
      <w:r w:rsidRPr="000E334D">
        <w:rPr>
          <w:rFonts w:ascii="Palatino Linotype" w:hAnsi="Palatino Linotype" w:cs="Calibri"/>
          <w:sz w:val="20"/>
          <w:szCs w:val="20"/>
        </w:rPr>
        <w:t xml:space="preserve"> et soft </w:t>
      </w:r>
      <w:proofErr w:type="spellStart"/>
      <w:r w:rsidRPr="000E334D">
        <w:rPr>
          <w:rFonts w:ascii="Palatino Linotype" w:hAnsi="Palatino Linotype" w:cs="Calibri"/>
          <w:sz w:val="20"/>
          <w:szCs w:val="20"/>
        </w:rPr>
        <w:t>skills</w:t>
      </w:r>
      <w:proofErr w:type="spellEnd"/>
      <w:r w:rsidRPr="000E334D">
        <w:rPr>
          <w:rFonts w:ascii="Palatino Linotype" w:hAnsi="Palatino Linotype" w:cs="Calibri"/>
          <w:sz w:val="20"/>
          <w:szCs w:val="20"/>
        </w:rPr>
        <w:t>) ;</w:t>
      </w:r>
    </w:p>
    <w:p w14:paraId="4090136F"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 xml:space="preserve">Validation orale des compétences linguistiques ; </w:t>
      </w:r>
    </w:p>
    <w:p w14:paraId="72466256"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Vérification préalable à l’embauche (identité, permis de travail, diplômes) ;</w:t>
      </w:r>
    </w:p>
    <w:p w14:paraId="1137755B" w14:textId="77777777" w:rsidR="00CC30A5" w:rsidRPr="000E334D" w:rsidRDefault="00CC30A5" w:rsidP="00CC30A5">
      <w:pPr>
        <w:numPr>
          <w:ilvl w:val="0"/>
          <w:numId w:val="7"/>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Envoi d’un rapport candidat auprès du Client ;</w:t>
      </w:r>
    </w:p>
    <w:p w14:paraId="179DDE21" w14:textId="7C1B681F" w:rsidR="00CC30A5" w:rsidRPr="000E334D" w:rsidRDefault="00CC30A5" w:rsidP="00CC30A5">
      <w:pPr>
        <w:numPr>
          <w:ilvl w:val="0"/>
          <w:numId w:val="7"/>
        </w:numPr>
        <w:spacing w:after="0" w:line="240" w:lineRule="auto"/>
        <w:ind w:left="-284" w:right="-851"/>
        <w:rPr>
          <w:rFonts w:ascii="Palatino Linotype" w:hAnsi="Palatino Linotype" w:cs="Calibri"/>
          <w:sz w:val="20"/>
          <w:szCs w:val="20"/>
        </w:rPr>
      </w:pPr>
      <w:r w:rsidRPr="000E334D">
        <w:rPr>
          <w:rFonts w:ascii="Palatino Linotype" w:hAnsi="Palatino Linotype" w:cs="Calibri"/>
          <w:sz w:val="20"/>
          <w:szCs w:val="20"/>
        </w:rPr>
        <w:t xml:space="preserve">Information des candidats sélectionnés et non retenus et explication des raisons ; Suivi de l’intégration des candidats recrutés par le Client via Aquantis </w:t>
      </w:r>
      <w:r w:rsidRPr="00CC30A5">
        <w:rPr>
          <w:rFonts w:ascii="Palatino Linotype" w:hAnsi="Palatino Linotype" w:cs="Calibri"/>
          <w:sz w:val="20"/>
          <w:szCs w:val="20"/>
        </w:rPr>
        <w:t>Consulting</w:t>
      </w:r>
      <w:r w:rsidRPr="000E334D">
        <w:rPr>
          <w:rFonts w:ascii="Palatino Linotype" w:hAnsi="Palatino Linotype" w:cs="Calibri"/>
          <w:sz w:val="20"/>
          <w:szCs w:val="20"/>
        </w:rPr>
        <w:t>.</w:t>
      </w:r>
    </w:p>
    <w:p w14:paraId="1E5F6910" w14:textId="77777777" w:rsidR="00CC30A5" w:rsidRPr="000E334D" w:rsidRDefault="00CC30A5" w:rsidP="00CC30A5">
      <w:pPr>
        <w:spacing w:line="254" w:lineRule="auto"/>
        <w:ind w:left="-709" w:right="-851"/>
        <w:jc w:val="both"/>
        <w:rPr>
          <w:rFonts w:ascii="Palatino Linotype" w:hAnsi="Palatino Linotype"/>
          <w:b/>
          <w:sz w:val="20"/>
          <w:szCs w:val="20"/>
        </w:rPr>
      </w:pPr>
    </w:p>
    <w:p w14:paraId="4D4E52D1" w14:textId="77777777" w:rsidR="00CC30A5" w:rsidRPr="000E334D" w:rsidRDefault="00CC30A5" w:rsidP="00CC30A5">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lastRenderedPageBreak/>
        <w:t xml:space="preserve">Nous rencontrons soit physiquement, soit par vidéoconférence l’ensemble des candidats que nous vous présentons, même si le candidat a été déjà rencontré par notre cabinet. Cela nous permet de centrer notre entretien sur la validation des points importants du profil recherché. </w:t>
      </w:r>
    </w:p>
    <w:p w14:paraId="50CC0B1E"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Non-discrimination </w:t>
      </w:r>
    </w:p>
    <w:p w14:paraId="3ED36D04" w14:textId="77777777" w:rsidR="00CC30A5" w:rsidRPr="000E334D" w:rsidRDefault="00CC30A5" w:rsidP="00CC30A5">
      <w:pPr>
        <w:spacing w:line="254" w:lineRule="auto"/>
        <w:ind w:left="-709" w:right="-851"/>
        <w:jc w:val="both"/>
        <w:rPr>
          <w:rFonts w:ascii="Palatino Linotype" w:hAnsi="Palatino Linotype"/>
          <w:b/>
          <w:sz w:val="20"/>
          <w:szCs w:val="20"/>
        </w:rPr>
      </w:pPr>
    </w:p>
    <w:p w14:paraId="500A1A9A"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Aquantis est signataire de la charte de la diversité.</w:t>
      </w:r>
    </w:p>
    <w:p w14:paraId="2EAB7238"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Au sein de notre cabinet, nous luttons activement contre toute forme de discrimination et, dans le cadre de nos recrutements, nous ne prenons en compte que les compétences, aspirations et formations des candidats. Nous attendons de notre Client qu’il s’engage à étudier toutes les candidatures transmises en excluant toutes données à caractère discriminatoire, notamment relatives à l’âge, au sexe, à l’origine, à l’orientation sexuelle, à la situation familiale, aux opinions politiques, aux convictions religieuses, à l’apparence physique, au handicap, à l’état de santé, ou au patronyme.</w:t>
      </w:r>
    </w:p>
    <w:p w14:paraId="024993E2"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Exclusivité  </w:t>
      </w:r>
    </w:p>
    <w:p w14:paraId="5BBAE7CB" w14:textId="77777777" w:rsidR="00CC30A5" w:rsidRPr="000E334D" w:rsidRDefault="00CC30A5" w:rsidP="00CC30A5">
      <w:pPr>
        <w:spacing w:line="254" w:lineRule="auto"/>
        <w:ind w:left="-709" w:right="-851"/>
        <w:jc w:val="both"/>
        <w:rPr>
          <w:rFonts w:ascii="Palatino Linotype" w:hAnsi="Palatino Linotype"/>
          <w:b/>
          <w:sz w:val="20"/>
          <w:szCs w:val="20"/>
        </w:rPr>
      </w:pPr>
    </w:p>
    <w:p w14:paraId="2C5B3469" w14:textId="77777777" w:rsidR="00CC30A5" w:rsidRPr="000E334D" w:rsidRDefault="00CC30A5" w:rsidP="00CC30A5">
      <w:pPr>
        <w:spacing w:line="254" w:lineRule="auto"/>
        <w:ind w:left="-709" w:right="-851"/>
        <w:jc w:val="both"/>
        <w:rPr>
          <w:rFonts w:ascii="Palatino Linotype" w:hAnsi="Palatino Linotype"/>
          <w:b/>
          <w:sz w:val="20"/>
          <w:szCs w:val="20"/>
        </w:rPr>
      </w:pPr>
      <w:bookmarkStart w:id="2" w:name="_Hlk95325309"/>
      <w:r w:rsidRPr="000E334D">
        <w:rPr>
          <w:rFonts w:ascii="Palatino Linotype" w:hAnsi="Palatino Linotype"/>
          <w:b/>
          <w:sz w:val="20"/>
          <w:szCs w:val="20"/>
        </w:rPr>
        <w:t xml:space="preserve">Aucune Exclusivité </w:t>
      </w:r>
    </w:p>
    <w:bookmarkEnd w:id="2"/>
    <w:p w14:paraId="41F66C92"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Le recrutement n’est pas exclusif.</w:t>
      </w:r>
    </w:p>
    <w:p w14:paraId="25B0015F"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Votre société s’efforcera de rencontrer rapidement les candidats dont nous vous avons présenté les dossiers, afin de ne pas perdre des candidatures de valeur.</w:t>
      </w:r>
    </w:p>
    <w:p w14:paraId="6C31554D"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Après chaque entretien, nous faisons le point avec vous et avec le candidat afin de déterminer ensemble la suite à donner à sa candidature.</w:t>
      </w:r>
    </w:p>
    <w:p w14:paraId="3BA2693A" w14:textId="77777777" w:rsidR="00CC30A5" w:rsidRPr="000E334D" w:rsidRDefault="00CC30A5" w:rsidP="00CC30A5">
      <w:pPr>
        <w:autoSpaceDN w:val="0"/>
        <w:spacing w:after="0" w:line="240" w:lineRule="auto"/>
        <w:ind w:left="-426" w:right="-851"/>
        <w:jc w:val="both"/>
        <w:rPr>
          <w:rFonts w:ascii="Palatino Linotype" w:hAnsi="Palatino Linotype"/>
          <w:sz w:val="20"/>
          <w:szCs w:val="20"/>
        </w:rPr>
      </w:pPr>
    </w:p>
    <w:p w14:paraId="60ABB275" w14:textId="77777777" w:rsidR="00CC30A5" w:rsidRPr="000E334D" w:rsidRDefault="00CC30A5" w:rsidP="00CC30A5">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Exclusivité Totale</w:t>
      </w:r>
    </w:p>
    <w:p w14:paraId="35EA0AEC"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bookmarkStart w:id="3" w:name="_Hlk95325000"/>
      <w:r w:rsidRPr="000E334D">
        <w:rPr>
          <w:rFonts w:ascii="Palatino Linotype" w:hAnsi="Palatino Linotype"/>
          <w:i/>
          <w:sz w:val="20"/>
          <w:szCs w:val="20"/>
        </w:rPr>
        <w:t>Le recrutement est exclusif durant les 4 semaines suivant la date du présent contrat.</w:t>
      </w:r>
    </w:p>
    <w:p w14:paraId="6EB1C018"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 xml:space="preserve">Toute candidature quelle qu’en soit la provenance (candidature spontanée, réseau ou cooptation) sera transmise au cabinet Aquantis et intégrée dans le process global du recrutement. </w:t>
      </w:r>
    </w:p>
    <w:p w14:paraId="34235A0C"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4B42459E"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bookmarkEnd w:id="3"/>
    <w:p w14:paraId="48758E46" w14:textId="77777777" w:rsidR="00CC30A5" w:rsidRPr="000E334D" w:rsidRDefault="00CC30A5" w:rsidP="00CC30A5">
      <w:pPr>
        <w:autoSpaceDN w:val="0"/>
        <w:spacing w:after="0" w:line="240" w:lineRule="auto"/>
        <w:ind w:right="-851"/>
        <w:jc w:val="both"/>
        <w:rPr>
          <w:rFonts w:ascii="Palatino Linotype" w:hAnsi="Palatino Linotype"/>
          <w:i/>
          <w:sz w:val="20"/>
          <w:szCs w:val="20"/>
        </w:rPr>
      </w:pPr>
    </w:p>
    <w:p w14:paraId="60DFDF08" w14:textId="77777777" w:rsidR="00CC30A5" w:rsidRPr="000E334D" w:rsidRDefault="00CC30A5" w:rsidP="00CC30A5">
      <w:pPr>
        <w:spacing w:line="254" w:lineRule="auto"/>
        <w:ind w:left="-709" w:right="-851"/>
        <w:jc w:val="both"/>
        <w:rPr>
          <w:rFonts w:ascii="Palatino Linotype" w:hAnsi="Palatino Linotype"/>
          <w:i/>
          <w:sz w:val="20"/>
          <w:szCs w:val="20"/>
        </w:rPr>
      </w:pPr>
      <w:r w:rsidRPr="000E334D">
        <w:rPr>
          <w:rFonts w:ascii="Palatino Linotype" w:hAnsi="Palatino Linotype"/>
          <w:b/>
          <w:sz w:val="20"/>
          <w:szCs w:val="20"/>
        </w:rPr>
        <w:t>Exclusivité Limitée</w:t>
      </w:r>
    </w:p>
    <w:p w14:paraId="077C1A50" w14:textId="77777777" w:rsidR="00CC30A5" w:rsidRPr="000E334D" w:rsidRDefault="00CC30A5" w:rsidP="00CC30A5">
      <w:pPr>
        <w:autoSpaceDN w:val="0"/>
        <w:spacing w:after="0" w:line="240" w:lineRule="auto"/>
        <w:ind w:right="-851"/>
        <w:jc w:val="both"/>
        <w:rPr>
          <w:rFonts w:ascii="Palatino Linotype" w:hAnsi="Palatino Linotype"/>
          <w:i/>
          <w:sz w:val="20"/>
          <w:szCs w:val="20"/>
        </w:rPr>
      </w:pPr>
    </w:p>
    <w:p w14:paraId="3F0A31D3"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ne missionnera pas d’autres cabinets de recrutement durant les 4 semaines suivant la date du présent contrat, néanmoins, elle pourra considérer des candidatures cooptées ou émanant de son propre réseau.</w:t>
      </w:r>
    </w:p>
    <w:p w14:paraId="05263F6D"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275BEEEC" w14:textId="77777777" w:rsidR="00CC30A5" w:rsidRPr="000E334D" w:rsidRDefault="00CC30A5" w:rsidP="00CC30A5">
      <w:pPr>
        <w:numPr>
          <w:ilvl w:val="1"/>
          <w:numId w:val="11"/>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p w14:paraId="0CE9A1AA"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79EBA6A2"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606497AD"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55F124C8" w14:textId="32904F49" w:rsidR="00CC30A5" w:rsidRDefault="00CC30A5" w:rsidP="00CC30A5">
      <w:pPr>
        <w:autoSpaceDN w:val="0"/>
        <w:spacing w:after="0" w:line="240" w:lineRule="auto"/>
        <w:ind w:right="-851"/>
        <w:rPr>
          <w:rFonts w:ascii="Palatino Linotype" w:hAnsi="Palatino Linotype"/>
          <w:i/>
          <w:sz w:val="20"/>
          <w:szCs w:val="20"/>
        </w:rPr>
      </w:pPr>
    </w:p>
    <w:p w14:paraId="653E6BAC" w14:textId="26B5A29E" w:rsidR="00E831B3" w:rsidRDefault="00E831B3" w:rsidP="00CC30A5">
      <w:pPr>
        <w:autoSpaceDN w:val="0"/>
        <w:spacing w:after="0" w:line="240" w:lineRule="auto"/>
        <w:ind w:right="-851"/>
        <w:rPr>
          <w:rFonts w:ascii="Palatino Linotype" w:hAnsi="Palatino Linotype"/>
          <w:i/>
          <w:sz w:val="20"/>
          <w:szCs w:val="20"/>
        </w:rPr>
      </w:pPr>
    </w:p>
    <w:p w14:paraId="212C47EA" w14:textId="77777777" w:rsidR="00E831B3" w:rsidRPr="000E334D" w:rsidRDefault="00E831B3" w:rsidP="00CC30A5">
      <w:pPr>
        <w:autoSpaceDN w:val="0"/>
        <w:spacing w:after="0" w:line="240" w:lineRule="auto"/>
        <w:ind w:right="-851"/>
        <w:rPr>
          <w:rFonts w:ascii="Palatino Linotype" w:hAnsi="Palatino Linotype"/>
          <w:i/>
          <w:sz w:val="20"/>
          <w:szCs w:val="20"/>
        </w:rPr>
      </w:pPr>
    </w:p>
    <w:p w14:paraId="1F1CDFC1"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31C0B373"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48B10F6E" w14:textId="77777777" w:rsidR="00CC30A5" w:rsidRPr="000E334D" w:rsidRDefault="00CC30A5" w:rsidP="00CC30A5">
      <w:pPr>
        <w:autoSpaceDN w:val="0"/>
        <w:spacing w:after="0" w:line="240" w:lineRule="auto"/>
        <w:ind w:right="-851"/>
        <w:rPr>
          <w:rFonts w:ascii="Palatino Linotype" w:hAnsi="Palatino Linotype"/>
          <w:i/>
          <w:sz w:val="20"/>
          <w:szCs w:val="20"/>
        </w:rPr>
      </w:pPr>
    </w:p>
    <w:p w14:paraId="4BA9C1D5"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bookmarkStart w:id="4" w:name="_Hlk536601100"/>
      <w:r w:rsidRPr="000E334D">
        <w:rPr>
          <w:rFonts w:ascii="Palatino Linotype" w:hAnsi="Palatino Linotype"/>
          <w:b/>
          <w:sz w:val="20"/>
          <w:szCs w:val="20"/>
        </w:rPr>
        <w:lastRenderedPageBreak/>
        <w:t>Garanties</w:t>
      </w:r>
    </w:p>
    <w:p w14:paraId="4A7DDE2C" w14:textId="77777777" w:rsidR="00CC30A5" w:rsidRPr="000E334D" w:rsidRDefault="00CC30A5" w:rsidP="00CC30A5">
      <w:pPr>
        <w:spacing w:line="254" w:lineRule="auto"/>
        <w:ind w:left="-709" w:right="-851"/>
        <w:jc w:val="both"/>
        <w:rPr>
          <w:rFonts w:ascii="Palatino Linotype" w:hAnsi="Palatino Linotype"/>
          <w:b/>
          <w:sz w:val="20"/>
          <w:szCs w:val="20"/>
        </w:rPr>
      </w:pPr>
    </w:p>
    <w:p w14:paraId="59C116FF" w14:textId="0CD4609C" w:rsidR="00CC30A5" w:rsidRPr="000E334D" w:rsidRDefault="00CC30A5" w:rsidP="00CC30A5">
      <w:pPr>
        <w:numPr>
          <w:ilvl w:val="0"/>
          <w:numId w:val="4"/>
        </w:numPr>
        <w:tabs>
          <w:tab w:val="left" w:pos="900"/>
        </w:tabs>
        <w:autoSpaceDN w:val="0"/>
        <w:spacing w:after="0" w:line="240" w:lineRule="auto"/>
        <w:ind w:left="-426" w:right="-851"/>
        <w:jc w:val="both"/>
        <w:rPr>
          <w:rFonts w:ascii="Palatino Linotype" w:eastAsia="Arial" w:hAnsi="Palatino Linotype"/>
          <w:sz w:val="20"/>
          <w:szCs w:val="20"/>
        </w:rPr>
      </w:pPr>
      <w:bookmarkStart w:id="5" w:name="_Hlk1196764"/>
      <w:r w:rsidRPr="000E334D">
        <w:rPr>
          <w:rFonts w:ascii="Palatino Linotype" w:eastAsia="Arial" w:hAnsi="Palatino Linotype"/>
          <w:sz w:val="20"/>
          <w:szCs w:val="20"/>
        </w:rPr>
        <w:t xml:space="preserve">Dans le cas où le candidat retenu quitte votre société, de son fait ou du vôtre, au cours de sa période d’essai initiale, Aquantis </w:t>
      </w:r>
      <w:r w:rsidR="0077023D" w:rsidRPr="0077023D">
        <w:rPr>
          <w:rFonts w:ascii="Palatino Linotype" w:eastAsia="Arial" w:hAnsi="Palatino Linotype"/>
          <w:sz w:val="20"/>
          <w:szCs w:val="20"/>
        </w:rPr>
        <w:t xml:space="preserve">Consulting </w:t>
      </w:r>
      <w:r w:rsidRPr="000E334D">
        <w:rPr>
          <w:rFonts w:ascii="Palatino Linotype" w:eastAsia="Arial" w:hAnsi="Palatino Linotype"/>
          <w:sz w:val="20"/>
          <w:szCs w:val="20"/>
        </w:rPr>
        <w:t>mettra tout en œuvre afin de trouver un remplaçant au candidat initialement recruté, sans frais supplémentaires pour le Client, à condition toutefois :</w:t>
      </w:r>
    </w:p>
    <w:p w14:paraId="5F9C2CBF" w14:textId="77777777" w:rsidR="00CC30A5" w:rsidRPr="000E334D" w:rsidRDefault="00CC30A5" w:rsidP="00CC30A5">
      <w:pPr>
        <w:numPr>
          <w:ilvl w:val="0"/>
          <w:numId w:val="1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Que toutes les sommes dues par le Client aient été payées.</w:t>
      </w:r>
    </w:p>
    <w:p w14:paraId="056D7BC0" w14:textId="77777777" w:rsidR="00CC30A5" w:rsidRPr="000E334D" w:rsidRDefault="00CC30A5" w:rsidP="00CC30A5">
      <w:pPr>
        <w:numPr>
          <w:ilvl w:val="0"/>
          <w:numId w:val="1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Et que la fin du contrat de travail ne soit imputable ni à un cas de rupture due à des motifs économiques, ni à un surnombre d’effectif, ni à une différence manifeste entre la description de la fonction faite par le Client au candidat avant son engagement et le contenu réel de la fonction effectivement exercée, ni à un changement structurel chez le Client ou une négligence de ce dernier.</w:t>
      </w:r>
    </w:p>
    <w:p w14:paraId="5431187D" w14:textId="33976298" w:rsidR="00CC30A5" w:rsidRPr="000E334D" w:rsidRDefault="00CC30A5" w:rsidP="00CC30A5">
      <w:pPr>
        <w:numPr>
          <w:ilvl w:val="0"/>
          <w:numId w:val="4"/>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Le Client se doit de notifier à Aquantis </w:t>
      </w:r>
      <w:r w:rsidR="0077023D" w:rsidRPr="0077023D">
        <w:rPr>
          <w:rFonts w:ascii="Palatino Linotype" w:eastAsia="Arial" w:hAnsi="Palatino Linotype"/>
          <w:sz w:val="20"/>
          <w:szCs w:val="20"/>
        </w:rPr>
        <w:t xml:space="preserve">Consulting </w:t>
      </w:r>
      <w:r w:rsidRPr="000E334D">
        <w:rPr>
          <w:rFonts w:ascii="Palatino Linotype" w:eastAsia="Arial" w:hAnsi="Palatino Linotype"/>
          <w:sz w:val="20"/>
          <w:szCs w:val="20"/>
        </w:rPr>
        <w:t>sa volonté de mettre en place la garantie de remplacement dans un délai de 7 jours maximum suivant la rupture du contrat par mail.</w:t>
      </w:r>
    </w:p>
    <w:p w14:paraId="7A8565E6" w14:textId="77777777" w:rsidR="00CC30A5" w:rsidRPr="000E334D" w:rsidRDefault="00CC30A5" w:rsidP="00CC30A5">
      <w:pPr>
        <w:numPr>
          <w:ilvl w:val="0"/>
          <w:numId w:val="4"/>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Cet engagement est limité à une seule opération de recherche supplémentaire pour le même poste (mêmes intitulés de poste, attributions, niveau de rémunération) et se limite à 3 candidats rencontrés par le Client.</w:t>
      </w:r>
    </w:p>
    <w:p w14:paraId="6AA3175F" w14:textId="77777777" w:rsidR="00CC30A5" w:rsidRPr="000E334D" w:rsidRDefault="00CC30A5" w:rsidP="00CC30A5">
      <w:pPr>
        <w:spacing w:line="254" w:lineRule="auto"/>
        <w:ind w:left="-709" w:right="-851"/>
        <w:jc w:val="both"/>
        <w:rPr>
          <w:rFonts w:ascii="Palatino Linotype" w:hAnsi="Palatino Linotype"/>
          <w:b/>
          <w:sz w:val="20"/>
          <w:szCs w:val="20"/>
        </w:rPr>
      </w:pPr>
    </w:p>
    <w:p w14:paraId="0DC48A3B" w14:textId="77777777" w:rsidR="00CC30A5" w:rsidRPr="000E334D" w:rsidRDefault="00CC30A5" w:rsidP="00CC30A5">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Option extension de la garantie de remplacement </w:t>
      </w:r>
    </w:p>
    <w:p w14:paraId="47F7B06E" w14:textId="77777777" w:rsidR="00CC30A5" w:rsidRPr="000E334D" w:rsidRDefault="00CC30A5" w:rsidP="00CC30A5">
      <w:pPr>
        <w:numPr>
          <w:ilvl w:val="0"/>
          <w:numId w:val="5"/>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En outre, et afin de vous permettre de sécuriser au mieux vos opérations de recrutement, nous vous offrons par ailleurs la possibilité de bénéficier d’une extension de cette garantie de remplacement à l’intégralité de la période d’essai renouvellement inclus. </w:t>
      </w:r>
    </w:p>
    <w:p w14:paraId="0438523E" w14:textId="77777777" w:rsidR="00CC30A5" w:rsidRPr="000E334D" w:rsidRDefault="00CC30A5" w:rsidP="00CC30A5">
      <w:pPr>
        <w:numPr>
          <w:ilvl w:val="0"/>
          <w:numId w:val="5"/>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Si vous optez pour cette extension de garantie, les honoraires ci-dessous seront alors majorés de 15%.</w:t>
      </w:r>
    </w:p>
    <w:p w14:paraId="7FB7C5AC" w14:textId="77777777" w:rsidR="00CC30A5" w:rsidRPr="000E334D" w:rsidRDefault="00CC30A5" w:rsidP="00CC30A5">
      <w:pPr>
        <w:tabs>
          <w:tab w:val="num" w:pos="810"/>
        </w:tabs>
        <w:spacing w:line="254" w:lineRule="auto"/>
        <w:ind w:left="-709" w:right="-851"/>
        <w:jc w:val="both"/>
        <w:rPr>
          <w:rFonts w:ascii="Palatino Linotype" w:hAnsi="Palatino Linotype"/>
          <w:sz w:val="20"/>
          <w:szCs w:val="20"/>
        </w:rPr>
      </w:pPr>
    </w:p>
    <w:p w14:paraId="48275DAE" w14:textId="77777777" w:rsidR="00CC30A5" w:rsidRPr="000E334D" w:rsidRDefault="00CC30A5" w:rsidP="00CC30A5">
      <w:pPr>
        <w:numPr>
          <w:ilvl w:val="0"/>
          <w:numId w:val="3"/>
        </w:numPr>
        <w:autoSpaceDN w:val="0"/>
        <w:spacing w:after="0" w:line="240" w:lineRule="auto"/>
        <w:ind w:left="-709" w:right="-851" w:firstLine="284"/>
        <w:jc w:val="both"/>
        <w:rPr>
          <w:rFonts w:ascii="Palatino Linotype" w:eastAsia="Arial" w:hAnsi="Palatino Linotype"/>
          <w:sz w:val="20"/>
          <w:szCs w:val="20"/>
        </w:rPr>
      </w:pPr>
      <w:r w:rsidRPr="000E334D">
        <w:rPr>
          <w:rFonts w:ascii="Palatino Linotype" w:eastAsia="Arial" w:hAnsi="Palatino Linotype"/>
          <w:sz w:val="20"/>
          <w:szCs w:val="20"/>
        </w:rPr>
        <w:t>Je souhaite bénéficier de l’extension de garantie visée ci-dessus.</w:t>
      </w:r>
    </w:p>
    <w:p w14:paraId="2941C257" w14:textId="77777777" w:rsidR="00CC30A5" w:rsidRPr="000E334D" w:rsidRDefault="00CC30A5" w:rsidP="00CC30A5">
      <w:pPr>
        <w:autoSpaceDN w:val="0"/>
        <w:spacing w:after="0" w:line="240" w:lineRule="auto"/>
        <w:ind w:left="-709" w:right="-851"/>
        <w:jc w:val="both"/>
        <w:rPr>
          <w:rFonts w:ascii="Palatino Linotype" w:eastAsia="Arial" w:hAnsi="Palatino Linotype"/>
          <w:sz w:val="20"/>
          <w:szCs w:val="20"/>
        </w:rPr>
      </w:pPr>
    </w:p>
    <w:bookmarkEnd w:id="5"/>
    <w:p w14:paraId="5AC94D2F"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Frais d’annulation de mission</w:t>
      </w:r>
    </w:p>
    <w:p w14:paraId="77A2EC26" w14:textId="77777777" w:rsidR="00CC30A5" w:rsidRPr="000E334D" w:rsidRDefault="00CC30A5" w:rsidP="00CC30A5">
      <w:pPr>
        <w:spacing w:line="254" w:lineRule="auto"/>
        <w:ind w:left="-709" w:right="-851"/>
        <w:jc w:val="both"/>
        <w:rPr>
          <w:rFonts w:ascii="Palatino Linotype" w:hAnsi="Palatino Linotype"/>
          <w:b/>
          <w:sz w:val="20"/>
          <w:szCs w:val="20"/>
        </w:rPr>
      </w:pPr>
    </w:p>
    <w:p w14:paraId="404A531C" w14:textId="77777777" w:rsidR="00CC30A5" w:rsidRPr="000E334D" w:rsidRDefault="00CC30A5" w:rsidP="00CC30A5">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 xml:space="preserve">Des frais d’annulation correspondant à 25 % des honoraires totaux seront dus lors d’une annulation de mission durant la période d’exclusivité, et quel qu’en soit son motif. </w:t>
      </w:r>
    </w:p>
    <w:p w14:paraId="7E6322D3"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bookmarkStart w:id="6" w:name="_Hlk1196866"/>
      <w:r w:rsidRPr="000E334D">
        <w:rPr>
          <w:rFonts w:ascii="Palatino Linotype" w:hAnsi="Palatino Linotype"/>
          <w:b/>
          <w:bCs/>
          <w:sz w:val="20"/>
          <w:szCs w:val="20"/>
        </w:rPr>
        <w:t xml:space="preserve"> Droit de suite</w:t>
      </w:r>
    </w:p>
    <w:bookmarkEnd w:id="4"/>
    <w:p w14:paraId="3C3BE7B2" w14:textId="77777777" w:rsidR="00CC30A5" w:rsidRPr="000E334D" w:rsidRDefault="00CC30A5" w:rsidP="00CC30A5">
      <w:pPr>
        <w:spacing w:line="254" w:lineRule="auto"/>
        <w:ind w:left="-709" w:right="-851"/>
        <w:jc w:val="both"/>
        <w:rPr>
          <w:rFonts w:ascii="Palatino Linotype" w:hAnsi="Palatino Linotype"/>
          <w:b/>
          <w:sz w:val="20"/>
          <w:szCs w:val="20"/>
        </w:rPr>
      </w:pPr>
    </w:p>
    <w:p w14:paraId="613478FF" w14:textId="77777777" w:rsidR="00CC30A5" w:rsidRPr="000E334D" w:rsidRDefault="00CC30A5" w:rsidP="00CC30A5">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Dans le cas où un candidat présenté ne fait pas l’objet d’une offre par le Client ou refuse cette dernière et qu’il est employé par le Client, une de ses filiales ou toute autre société du groupe dans un délai de 12 mois suivant la date d’envoi du dossier de candidature complet au Client, le Client devra payer la totalité des honoraires prévus. </w:t>
      </w:r>
    </w:p>
    <w:bookmarkEnd w:id="6"/>
    <w:p w14:paraId="3512A69B" w14:textId="77777777" w:rsidR="00CC30A5" w:rsidRPr="000E334D" w:rsidRDefault="00CC30A5" w:rsidP="00CC30A5">
      <w:pPr>
        <w:numPr>
          <w:ilvl w:val="0"/>
          <w:numId w:val="11"/>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Conditions financières</w:t>
      </w:r>
    </w:p>
    <w:p w14:paraId="278E453A" w14:textId="77777777" w:rsidR="00CC30A5" w:rsidRPr="000E334D" w:rsidRDefault="00CC30A5" w:rsidP="00CC30A5">
      <w:pPr>
        <w:spacing w:line="254" w:lineRule="auto"/>
        <w:ind w:left="-709" w:right="-851"/>
        <w:jc w:val="both"/>
        <w:rPr>
          <w:rFonts w:ascii="Palatino Linotype" w:hAnsi="Palatino Linotype"/>
          <w:b/>
          <w:sz w:val="20"/>
          <w:szCs w:val="20"/>
        </w:rPr>
      </w:pPr>
    </w:p>
    <w:p w14:paraId="18028F66"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Nos honoraires sont fixés à 22% de la rémunération brute annuelle du (des) candidat(s) sélectionné(s) incluant tout élément de bonus garanti ou probable. Si une voiture de fonction était proposée, un montant forfaitaire de 8 000 € HT serait ajouté à cette rémunération globale pour déterminer la base de calcul de nos honoraires.</w:t>
      </w:r>
    </w:p>
    <w:p w14:paraId="354400EA" w14:textId="77777777" w:rsidR="00CC30A5" w:rsidRPr="000E334D" w:rsidRDefault="00CC30A5" w:rsidP="00CC30A5">
      <w:pPr>
        <w:spacing w:line="254" w:lineRule="auto"/>
        <w:ind w:left="-709" w:right="-851"/>
        <w:rPr>
          <w:rFonts w:ascii="Palatino Linotype" w:hAnsi="Palatino Linotype"/>
          <w:sz w:val="20"/>
          <w:szCs w:val="20"/>
        </w:rPr>
      </w:pPr>
    </w:p>
    <w:p w14:paraId="0CE3E814" w14:textId="77777777" w:rsidR="00CC30A5" w:rsidRPr="000E334D" w:rsidRDefault="00CC30A5" w:rsidP="00CC30A5">
      <w:pPr>
        <w:spacing w:line="254" w:lineRule="auto"/>
        <w:ind w:left="-709" w:right="-851"/>
        <w:rPr>
          <w:rFonts w:ascii="Palatino Linotype" w:hAnsi="Palatino Linotype"/>
          <w:sz w:val="20"/>
          <w:szCs w:val="20"/>
        </w:rPr>
      </w:pPr>
      <w:r w:rsidRPr="000E334D">
        <w:rPr>
          <w:rFonts w:ascii="Palatino Linotype" w:hAnsi="Palatino Linotype"/>
          <w:sz w:val="20"/>
          <w:szCs w:val="20"/>
          <w:u w:val="single"/>
        </w:rPr>
        <w:t>La facturation des honoraires intervient de la façon suivante</w:t>
      </w:r>
      <w:r w:rsidRPr="000E334D">
        <w:rPr>
          <w:rFonts w:ascii="Palatino Linotype" w:hAnsi="Palatino Linotype"/>
          <w:sz w:val="20"/>
          <w:szCs w:val="20"/>
        </w:rPr>
        <w:t xml:space="preserve"> :</w:t>
      </w:r>
    </w:p>
    <w:p w14:paraId="1E4AFD4B" w14:textId="77777777" w:rsidR="00CC30A5" w:rsidRPr="000E334D" w:rsidRDefault="00CC30A5" w:rsidP="00CC30A5">
      <w:pPr>
        <w:numPr>
          <w:ilvl w:val="0"/>
          <w:numId w:val="2"/>
        </w:numPr>
        <w:autoSpaceDN w:val="0"/>
        <w:spacing w:after="0" w:line="240" w:lineRule="auto"/>
        <w:ind w:left="-709" w:right="-851" w:firstLine="273"/>
        <w:rPr>
          <w:rFonts w:ascii="Palatino Linotype" w:hAnsi="Palatino Linotype"/>
          <w:sz w:val="20"/>
          <w:szCs w:val="20"/>
        </w:rPr>
      </w:pPr>
      <w:r w:rsidRPr="000E334D">
        <w:rPr>
          <w:rFonts w:ascii="Palatino Linotype" w:hAnsi="Palatino Linotype"/>
          <w:sz w:val="20"/>
          <w:szCs w:val="20"/>
        </w:rPr>
        <w:t>100% à la signature du contrat de travail ou de la promesse d’embauche.</w:t>
      </w:r>
    </w:p>
    <w:p w14:paraId="3DE3D84C" w14:textId="77777777" w:rsidR="00CC30A5" w:rsidRPr="000E334D" w:rsidRDefault="00CC30A5" w:rsidP="00CC30A5">
      <w:pPr>
        <w:autoSpaceDN w:val="0"/>
        <w:spacing w:after="0" w:line="240" w:lineRule="auto"/>
        <w:ind w:right="-851"/>
        <w:rPr>
          <w:rFonts w:ascii="Palatino Linotype" w:hAnsi="Palatino Linotype"/>
          <w:sz w:val="20"/>
          <w:szCs w:val="20"/>
        </w:rPr>
      </w:pPr>
    </w:p>
    <w:p w14:paraId="68EDC255" w14:textId="77777777" w:rsidR="00CC30A5" w:rsidRPr="000E334D" w:rsidRDefault="00CC30A5" w:rsidP="00CC30A5">
      <w:pPr>
        <w:autoSpaceDN w:val="0"/>
        <w:spacing w:after="0" w:line="240" w:lineRule="auto"/>
        <w:ind w:right="-851"/>
        <w:rPr>
          <w:rFonts w:ascii="Palatino Linotype" w:hAnsi="Palatino Linotype"/>
          <w:sz w:val="20"/>
          <w:szCs w:val="20"/>
        </w:rPr>
      </w:pPr>
    </w:p>
    <w:p w14:paraId="04453836" w14:textId="77777777" w:rsidR="00CC30A5" w:rsidRPr="000E334D" w:rsidRDefault="00CC30A5" w:rsidP="00CC30A5">
      <w:pPr>
        <w:spacing w:line="254" w:lineRule="auto"/>
        <w:ind w:left="-709" w:right="-851"/>
        <w:rPr>
          <w:rFonts w:ascii="Palatino Linotype" w:hAnsi="Palatino Linotype"/>
          <w:sz w:val="20"/>
          <w:szCs w:val="20"/>
        </w:rPr>
      </w:pPr>
    </w:p>
    <w:p w14:paraId="6E8A105C"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lastRenderedPageBreak/>
        <w:t>S’ajoutent à ces honoraires des frais de dossier d’un montant de 950 € HT, acquis à la signature du présent contrat. Ces frais couvrent l’ensemble des frais administratifs et d</w:t>
      </w:r>
      <w:r w:rsidRPr="000E334D">
        <w:rPr>
          <w:rFonts w:ascii="Palatino Linotype" w:hAnsi="Palatino Linotype"/>
          <w:sz w:val="20"/>
          <w:szCs w:val="20"/>
          <w:lang w:val="fr-BE"/>
        </w:rPr>
        <w:t xml:space="preserve">e communication. (Utilisation des CVthèques et réseaux sociaux, diffusion d’annonces…) </w:t>
      </w:r>
    </w:p>
    <w:p w14:paraId="41A281B9" w14:textId="77777777" w:rsidR="00CC30A5" w:rsidRPr="000E334D" w:rsidRDefault="00CC30A5" w:rsidP="00CC30A5">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Toutes les factures émises dans le cadre du présent contrat seront payées par le Client dans un délai de </w:t>
      </w:r>
      <w:proofErr w:type="gramStart"/>
      <w:r w:rsidRPr="000E334D">
        <w:rPr>
          <w:rFonts w:ascii="Palatino Linotype" w:hAnsi="Palatino Linotype"/>
          <w:sz w:val="20"/>
          <w:szCs w:val="20"/>
        </w:rPr>
        <w:t>trente jours fin</w:t>
      </w:r>
      <w:proofErr w:type="gramEnd"/>
      <w:r w:rsidRPr="000E334D">
        <w:rPr>
          <w:rFonts w:ascii="Palatino Linotype" w:hAnsi="Palatino Linotype"/>
          <w:sz w:val="20"/>
          <w:szCs w:val="20"/>
        </w:rPr>
        <w:t xml:space="preserve"> de mois date de facture. En cas de retard de paiement, les intérêts se calculent selon l’article L441-6 du code du commerce.</w:t>
      </w:r>
    </w:p>
    <w:p w14:paraId="5E2B4480" w14:textId="6423A4E6" w:rsidR="00CC30A5" w:rsidRPr="000E334D" w:rsidRDefault="00CC30A5" w:rsidP="00CC30A5">
      <w:pPr>
        <w:spacing w:line="254" w:lineRule="auto"/>
        <w:ind w:left="-709" w:right="-851"/>
        <w:rPr>
          <w:rFonts w:ascii="Palatino Linotype" w:hAnsi="Palatino Linotype"/>
          <w:b/>
          <w:sz w:val="20"/>
          <w:szCs w:val="20"/>
        </w:rPr>
      </w:pPr>
      <w:r w:rsidRPr="000E334D">
        <w:rPr>
          <w:rFonts w:ascii="Palatino Linotype" w:hAnsi="Palatino Linotype"/>
          <w:b/>
          <w:sz w:val="20"/>
          <w:szCs w:val="20"/>
        </w:rPr>
        <w:t>Nous vous remercions, si cette proposition vous convient, de bien vouloir nous retourner un exemplaire signé après en avoir paraphé toutes les pages</w:t>
      </w:r>
      <w:r w:rsidR="00C5154F">
        <w:rPr>
          <w:rFonts w:ascii="Palatino Linotype" w:hAnsi="Palatino Linotype"/>
          <w:b/>
          <w:sz w:val="20"/>
          <w:szCs w:val="20"/>
        </w:rPr>
        <w:t xml:space="preserve">, </w:t>
      </w:r>
      <w:r w:rsidR="00C5154F" w:rsidRPr="00410BA0">
        <w:rPr>
          <w:rFonts w:ascii="Palatino Linotype" w:hAnsi="Palatino Linotype"/>
          <w:b/>
          <w:color w:val="0070C0"/>
          <w:sz w:val="20"/>
          <w:szCs w:val="20"/>
        </w:rPr>
        <w:t>ainsi que l’annexe relative aux informations facturation</w:t>
      </w:r>
      <w:r w:rsidRPr="00410BA0">
        <w:rPr>
          <w:rFonts w:ascii="Palatino Linotype" w:hAnsi="Palatino Linotype"/>
          <w:b/>
          <w:color w:val="0070C0"/>
          <w:sz w:val="20"/>
          <w:szCs w:val="20"/>
        </w:rPr>
        <w:t>.</w:t>
      </w:r>
    </w:p>
    <w:p w14:paraId="3CEFD345" w14:textId="77777777" w:rsidR="00CC30A5" w:rsidRPr="000E334D" w:rsidRDefault="00CC30A5" w:rsidP="00CC30A5">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Fait à Levallois Perret, le 8 février 2022</w:t>
      </w:r>
    </w:p>
    <w:p w14:paraId="5788BFB4" w14:textId="77777777" w:rsidR="00CC30A5" w:rsidRPr="000E334D" w:rsidRDefault="00CC30A5" w:rsidP="00CC30A5">
      <w:pPr>
        <w:spacing w:line="254" w:lineRule="auto"/>
        <w:ind w:left="-709" w:right="-851"/>
        <w:jc w:val="both"/>
        <w:rPr>
          <w:rFonts w:ascii="Palatino Linotype" w:hAnsi="Palatino Linotype"/>
          <w:b/>
          <w:sz w:val="20"/>
          <w:szCs w:val="20"/>
        </w:rPr>
      </w:pPr>
    </w:p>
    <w:p w14:paraId="342F3ABA" w14:textId="1B9B53FC" w:rsidR="00CC30A5" w:rsidRPr="000E334D" w:rsidRDefault="00CC30A5" w:rsidP="00CC30A5">
      <w:pPr>
        <w:spacing w:after="0" w:line="254" w:lineRule="auto"/>
        <w:ind w:right="-851"/>
        <w:rPr>
          <w:rFonts w:ascii="Palatino Linotype" w:eastAsia="Arial" w:hAnsi="Palatino Linotype"/>
          <w:b/>
          <w:sz w:val="20"/>
          <w:szCs w:val="20"/>
        </w:rPr>
      </w:pPr>
      <w:r w:rsidRPr="000E334D">
        <w:rPr>
          <w:rFonts w:ascii="Palatino Linotype" w:eastAsia="Arial" w:hAnsi="Palatino Linotype"/>
          <w:b/>
          <w:sz w:val="20"/>
          <w:szCs w:val="20"/>
        </w:rPr>
        <w:t>IRON MOUNTAIN</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 xml:space="preserve">AQUANTIS </w:t>
      </w:r>
      <w:r w:rsidR="00F01226">
        <w:rPr>
          <w:rFonts w:ascii="Palatino Linotype" w:eastAsia="Arial" w:hAnsi="Palatino Linotype"/>
          <w:b/>
          <w:sz w:val="20"/>
          <w:szCs w:val="20"/>
        </w:rPr>
        <w:t>CONSULTING</w:t>
      </w:r>
    </w:p>
    <w:p w14:paraId="12ECBF59" w14:textId="77777777" w:rsidR="00CC30A5" w:rsidRPr="000E334D" w:rsidRDefault="00CC30A5" w:rsidP="00CC30A5">
      <w:pPr>
        <w:widowControl w:val="0"/>
        <w:autoSpaceDE w:val="0"/>
        <w:autoSpaceDN w:val="0"/>
        <w:spacing w:after="0" w:line="240" w:lineRule="auto"/>
        <w:ind w:right="567"/>
        <w:jc w:val="both"/>
        <w:rPr>
          <w:rFonts w:ascii="Palatino Linotype" w:eastAsia="Arial" w:hAnsi="Palatino Linotype"/>
          <w:b/>
          <w:sz w:val="20"/>
          <w:szCs w:val="20"/>
        </w:rPr>
      </w:pPr>
      <w:r w:rsidRPr="000E334D">
        <w:rPr>
          <w:rFonts w:ascii="Palatino Linotype" w:eastAsia="Arial" w:hAnsi="Palatino Linotype"/>
          <w:b/>
          <w:bCs/>
          <w:sz w:val="20"/>
          <w:szCs w:val="20"/>
        </w:rPr>
        <w:t>Line-Rose MAXIMIN</w:t>
      </w:r>
      <w:r w:rsidRPr="000E334D">
        <w:rPr>
          <w:rFonts w:ascii="Palatino Linotype" w:eastAsia="Arial" w:hAnsi="Palatino Linotype"/>
          <w:b/>
          <w:bCs/>
          <w:sz w:val="20"/>
          <w:szCs w:val="20"/>
        </w:rPr>
        <w:tab/>
      </w:r>
      <w:r w:rsidRPr="000E334D">
        <w:rPr>
          <w:rFonts w:ascii="Palatino Linotype" w:eastAsia="Arial" w:hAnsi="Palatino Linotype"/>
          <w:b/>
          <w:sz w:val="20"/>
          <w:szCs w:val="20"/>
        </w:rPr>
        <w:t xml:space="preserve"> </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Vincent GAUTIER</w:t>
      </w:r>
    </w:p>
    <w:p w14:paraId="1F7581A4" w14:textId="77777777" w:rsidR="00CC30A5" w:rsidRPr="000E334D" w:rsidRDefault="00CC30A5" w:rsidP="00CC30A5">
      <w:pPr>
        <w:widowControl w:val="0"/>
        <w:autoSpaceDE w:val="0"/>
        <w:autoSpaceDN w:val="0"/>
        <w:spacing w:after="0" w:line="240" w:lineRule="auto"/>
        <w:ind w:right="567"/>
        <w:rPr>
          <w:rFonts w:ascii="Palatino Linotype" w:eastAsia="Arial" w:hAnsi="Palatino Linotype"/>
          <w:i/>
          <w:sz w:val="20"/>
          <w:szCs w:val="20"/>
        </w:rPr>
      </w:pPr>
      <w:r w:rsidRPr="000E334D">
        <w:rPr>
          <w:rFonts w:ascii="Palatino Linotype" w:eastAsia="Arial" w:hAnsi="Palatino Linotype"/>
          <w:i/>
          <w:sz w:val="20"/>
          <w:szCs w:val="20"/>
        </w:rPr>
        <w:t xml:space="preserve">Signature et cachet précédés </w:t>
      </w:r>
    </w:p>
    <w:p w14:paraId="79FB2EEA" w14:textId="77777777" w:rsidR="00CC30A5" w:rsidRPr="000E334D" w:rsidRDefault="00CC30A5" w:rsidP="00CC30A5">
      <w:pPr>
        <w:widowControl w:val="0"/>
        <w:autoSpaceDE w:val="0"/>
        <w:autoSpaceDN w:val="0"/>
        <w:spacing w:after="0" w:line="240" w:lineRule="auto"/>
        <w:ind w:right="567"/>
        <w:rPr>
          <w:rFonts w:ascii="Arial" w:eastAsia="Arial" w:hAnsi="Arial"/>
        </w:rPr>
      </w:pPr>
      <w:proofErr w:type="gramStart"/>
      <w:r w:rsidRPr="000E334D">
        <w:rPr>
          <w:rFonts w:ascii="Palatino Linotype" w:eastAsia="Arial" w:hAnsi="Palatino Linotype"/>
          <w:i/>
          <w:sz w:val="20"/>
          <w:szCs w:val="20"/>
        </w:rPr>
        <w:t>de</w:t>
      </w:r>
      <w:proofErr w:type="gramEnd"/>
      <w:r w:rsidRPr="000E334D">
        <w:rPr>
          <w:rFonts w:ascii="Palatino Linotype" w:eastAsia="Arial" w:hAnsi="Palatino Linotype"/>
          <w:i/>
          <w:sz w:val="20"/>
          <w:szCs w:val="20"/>
        </w:rPr>
        <w:t xml:space="preserve"> la mention « lu et approuvé »</w:t>
      </w:r>
    </w:p>
    <w:p w14:paraId="3443CC02" w14:textId="77777777" w:rsidR="00CC30A5" w:rsidRPr="000E334D" w:rsidRDefault="00CC30A5" w:rsidP="00CC30A5">
      <w:pPr>
        <w:spacing w:line="254" w:lineRule="auto"/>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0F6DE887" w14:textId="77777777" w:rsidR="00CD2BFB" w:rsidRDefault="00CD2BFB" w:rsidP="00CD2BFB">
      <w:pPr>
        <w:rPr>
          <w:rFonts w:ascii="Copperplate Gothic Bold" w:eastAsia="Batang" w:hAnsi="Copperplate Gothic Bold" w:cs="Arial"/>
          <w:b/>
          <w:color w:val="365F91"/>
          <w:sz w:val="48"/>
          <w:szCs w:val="48"/>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2700000" w14:scaled="0"/>
            </w14:gradFill>
          </w14:textFill>
        </w:rPr>
      </w:pPr>
    </w:p>
    <w:sectPr w:rsidR="00CD2BFB" w:rsidSect="003859A8">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220" w14:textId="77777777" w:rsidR="00E731D1" w:rsidRDefault="00E731D1" w:rsidP="006F5F5E">
      <w:pPr>
        <w:spacing w:after="0" w:line="240" w:lineRule="auto"/>
      </w:pPr>
      <w:r>
        <w:separator/>
      </w:r>
    </w:p>
  </w:endnote>
  <w:endnote w:type="continuationSeparator" w:id="0">
    <w:p w14:paraId="1D0E84CA" w14:textId="77777777" w:rsidR="00E731D1" w:rsidRDefault="00E731D1" w:rsidP="006F5F5E">
      <w:pPr>
        <w:spacing w:after="0" w:line="240" w:lineRule="auto"/>
      </w:pPr>
      <w:r>
        <w:continuationSeparator/>
      </w:r>
    </w:p>
  </w:endnote>
  <w:endnote w:type="continuationNotice" w:id="1">
    <w:p w14:paraId="5F5C5B1E" w14:textId="77777777" w:rsidR="00E731D1" w:rsidRDefault="00E73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BF09" w14:textId="77777777" w:rsidR="00E731D1" w:rsidRDefault="00E731D1" w:rsidP="006F5F5E">
      <w:pPr>
        <w:spacing w:after="0" w:line="240" w:lineRule="auto"/>
      </w:pPr>
      <w:r>
        <w:separator/>
      </w:r>
    </w:p>
  </w:footnote>
  <w:footnote w:type="continuationSeparator" w:id="0">
    <w:p w14:paraId="2CDC43B6" w14:textId="77777777" w:rsidR="00E731D1" w:rsidRDefault="00E731D1" w:rsidP="006F5F5E">
      <w:pPr>
        <w:spacing w:after="0" w:line="240" w:lineRule="auto"/>
      </w:pPr>
      <w:r>
        <w:continuationSeparator/>
      </w:r>
    </w:p>
  </w:footnote>
  <w:footnote w:type="continuationNotice" w:id="1">
    <w:p w14:paraId="408A0964" w14:textId="77777777" w:rsidR="00E731D1" w:rsidRDefault="00E73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AEF4" w14:textId="77777777" w:rsidR="00C35508" w:rsidRDefault="00C35508" w:rsidP="00C35508">
    <w:pPr>
      <w:pStyle w:val="En-tte"/>
      <w:ind w:hanging="1417"/>
    </w:pPr>
    <w:r>
      <w:rPr>
        <w:noProof/>
        <w:lang w:eastAsia="fr-FR"/>
      </w:rPr>
      <w:drawing>
        <wp:anchor distT="0" distB="0" distL="114300" distR="114300" simplePos="0" relativeHeight="251658240" behindDoc="1" locked="0" layoutInCell="1" allowOverlap="1" wp14:anchorId="24E87415" wp14:editId="2560DEB1">
          <wp:simplePos x="0" y="0"/>
          <wp:positionH relativeFrom="page">
            <wp:align>left</wp:align>
          </wp:positionH>
          <wp:positionV relativeFrom="paragraph">
            <wp:posOffset>-158750</wp:posOffset>
          </wp:positionV>
          <wp:extent cx="7534275" cy="1065694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pier-en-tete-Consul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6947"/>
                  </a:xfrm>
                  <a:prstGeom prst="rect">
                    <a:avLst/>
                  </a:prstGeom>
                </pic:spPr>
              </pic:pic>
            </a:graphicData>
          </a:graphic>
          <wp14:sizeRelH relativeFrom="page">
            <wp14:pctWidth>0</wp14:pctWidth>
          </wp14:sizeRelH>
          <wp14:sizeRelV relativeFrom="page">
            <wp14:pctHeight>0</wp14:pctHeight>
          </wp14:sizeRelV>
        </wp:anchor>
      </w:drawing>
    </w:r>
  </w:p>
  <w:p w14:paraId="7B429935" w14:textId="77777777" w:rsidR="006F5F5E" w:rsidRDefault="006F5F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DA"/>
    <w:multiLevelType w:val="hybridMultilevel"/>
    <w:tmpl w:val="2692F5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F706266"/>
    <w:multiLevelType w:val="hybridMultilevel"/>
    <w:tmpl w:val="F01ADA58"/>
    <w:lvl w:ilvl="0" w:tplc="1CB80222">
      <w:numFmt w:val="bullet"/>
      <w:lvlText w:val="-"/>
      <w:lvlJc w:val="left"/>
      <w:pPr>
        <w:ind w:left="1080" w:hanging="360"/>
      </w:pPr>
      <w:rPr>
        <w:rFonts w:ascii="Calibri" w:eastAsiaTheme="minorEastAsia" w:hAnsi="Calibri" w:cs="Time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765587"/>
    <w:multiLevelType w:val="hybridMultilevel"/>
    <w:tmpl w:val="D1A43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636B8"/>
    <w:multiLevelType w:val="hybridMultilevel"/>
    <w:tmpl w:val="DD721B24"/>
    <w:lvl w:ilvl="0" w:tplc="EC82C588">
      <w:start w:val="1"/>
      <w:numFmt w:val="decimal"/>
      <w:lvlText w:val="%1."/>
      <w:lvlJc w:val="left"/>
      <w:pPr>
        <w:tabs>
          <w:tab w:val="num" w:pos="435"/>
        </w:tabs>
        <w:ind w:left="435" w:hanging="435"/>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C504BDE">
      <w:numFmt w:val="bullet"/>
      <w:lvlText w:val=""/>
      <w:lvlJc w:val="left"/>
      <w:pPr>
        <w:tabs>
          <w:tab w:val="num" w:pos="2700"/>
        </w:tabs>
        <w:ind w:left="2700" w:hanging="72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D6B3A67"/>
    <w:multiLevelType w:val="hybridMultilevel"/>
    <w:tmpl w:val="6622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B6EC9"/>
    <w:multiLevelType w:val="hybridMultilevel"/>
    <w:tmpl w:val="CFAEC19E"/>
    <w:lvl w:ilvl="0" w:tplc="AFD4C700">
      <w:start w:val="1"/>
      <w:numFmt w:val="bullet"/>
      <w:lvlText w:val=""/>
      <w:lvlJc w:val="left"/>
      <w:pPr>
        <w:ind w:left="4371" w:hanging="360"/>
      </w:pPr>
      <w:rPr>
        <w:rFonts w:ascii="Symbol" w:hAnsi="Symbol" w:hint="default"/>
      </w:rPr>
    </w:lvl>
    <w:lvl w:ilvl="1" w:tplc="040C0003" w:tentative="1">
      <w:start w:val="1"/>
      <w:numFmt w:val="bullet"/>
      <w:lvlText w:val="o"/>
      <w:lvlJc w:val="left"/>
      <w:pPr>
        <w:ind w:left="5091" w:hanging="360"/>
      </w:pPr>
      <w:rPr>
        <w:rFonts w:ascii="Courier New" w:hAnsi="Courier New" w:cs="Courier New" w:hint="default"/>
      </w:rPr>
    </w:lvl>
    <w:lvl w:ilvl="2" w:tplc="040C0005" w:tentative="1">
      <w:start w:val="1"/>
      <w:numFmt w:val="bullet"/>
      <w:lvlText w:val=""/>
      <w:lvlJc w:val="left"/>
      <w:pPr>
        <w:ind w:left="5811" w:hanging="360"/>
      </w:pPr>
      <w:rPr>
        <w:rFonts w:ascii="Wingdings" w:hAnsi="Wingdings" w:hint="default"/>
      </w:rPr>
    </w:lvl>
    <w:lvl w:ilvl="3" w:tplc="040C0001" w:tentative="1">
      <w:start w:val="1"/>
      <w:numFmt w:val="bullet"/>
      <w:lvlText w:val=""/>
      <w:lvlJc w:val="left"/>
      <w:pPr>
        <w:ind w:left="6531" w:hanging="360"/>
      </w:pPr>
      <w:rPr>
        <w:rFonts w:ascii="Symbol" w:hAnsi="Symbol" w:hint="default"/>
      </w:rPr>
    </w:lvl>
    <w:lvl w:ilvl="4" w:tplc="040C0003" w:tentative="1">
      <w:start w:val="1"/>
      <w:numFmt w:val="bullet"/>
      <w:lvlText w:val="o"/>
      <w:lvlJc w:val="left"/>
      <w:pPr>
        <w:ind w:left="7251" w:hanging="360"/>
      </w:pPr>
      <w:rPr>
        <w:rFonts w:ascii="Courier New" w:hAnsi="Courier New" w:cs="Courier New" w:hint="default"/>
      </w:rPr>
    </w:lvl>
    <w:lvl w:ilvl="5" w:tplc="040C0005" w:tentative="1">
      <w:start w:val="1"/>
      <w:numFmt w:val="bullet"/>
      <w:lvlText w:val=""/>
      <w:lvlJc w:val="left"/>
      <w:pPr>
        <w:ind w:left="7971" w:hanging="360"/>
      </w:pPr>
      <w:rPr>
        <w:rFonts w:ascii="Wingdings" w:hAnsi="Wingdings" w:hint="default"/>
      </w:rPr>
    </w:lvl>
    <w:lvl w:ilvl="6" w:tplc="040C0001" w:tentative="1">
      <w:start w:val="1"/>
      <w:numFmt w:val="bullet"/>
      <w:lvlText w:val=""/>
      <w:lvlJc w:val="left"/>
      <w:pPr>
        <w:ind w:left="8691" w:hanging="360"/>
      </w:pPr>
      <w:rPr>
        <w:rFonts w:ascii="Symbol" w:hAnsi="Symbol" w:hint="default"/>
      </w:rPr>
    </w:lvl>
    <w:lvl w:ilvl="7" w:tplc="040C0003" w:tentative="1">
      <w:start w:val="1"/>
      <w:numFmt w:val="bullet"/>
      <w:lvlText w:val="o"/>
      <w:lvlJc w:val="left"/>
      <w:pPr>
        <w:ind w:left="9411" w:hanging="360"/>
      </w:pPr>
      <w:rPr>
        <w:rFonts w:ascii="Courier New" w:hAnsi="Courier New" w:cs="Courier New" w:hint="default"/>
      </w:rPr>
    </w:lvl>
    <w:lvl w:ilvl="8" w:tplc="040C0005" w:tentative="1">
      <w:start w:val="1"/>
      <w:numFmt w:val="bullet"/>
      <w:lvlText w:val=""/>
      <w:lvlJc w:val="left"/>
      <w:pPr>
        <w:ind w:left="10131" w:hanging="360"/>
      </w:pPr>
      <w:rPr>
        <w:rFonts w:ascii="Wingdings" w:hAnsi="Wingdings" w:hint="default"/>
      </w:rPr>
    </w:lvl>
  </w:abstractNum>
  <w:abstractNum w:abstractNumId="6" w15:restartNumberingAfterBreak="0">
    <w:nsid w:val="48C27119"/>
    <w:multiLevelType w:val="hybridMultilevel"/>
    <w:tmpl w:val="5A56E9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963DC4"/>
    <w:multiLevelType w:val="hybridMultilevel"/>
    <w:tmpl w:val="5B1EE020"/>
    <w:lvl w:ilvl="0" w:tplc="1CB80222">
      <w:numFmt w:val="bullet"/>
      <w:lvlText w:val="-"/>
      <w:lvlJc w:val="left"/>
      <w:pPr>
        <w:ind w:left="720" w:hanging="360"/>
      </w:pPr>
      <w:rPr>
        <w:rFonts w:ascii="Calibri" w:eastAsia="Times New Roman" w:hAnsi="Calibri" w:cs="Time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C0128D6"/>
    <w:multiLevelType w:val="hybridMultilevel"/>
    <w:tmpl w:val="CFA6B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7EC69BF"/>
    <w:multiLevelType w:val="hybridMultilevel"/>
    <w:tmpl w:val="A63E4330"/>
    <w:lvl w:ilvl="0" w:tplc="3C504BDE">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B5A41"/>
    <w:multiLevelType w:val="hybridMultilevel"/>
    <w:tmpl w:val="5DD66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1035804">
    <w:abstractNumId w:val="3"/>
  </w:num>
  <w:num w:numId="2" w16cid:durableId="1609703239">
    <w:abstractNumId w:val="9"/>
  </w:num>
  <w:num w:numId="3" w16cid:durableId="307327936">
    <w:abstractNumId w:val="5"/>
  </w:num>
  <w:num w:numId="4" w16cid:durableId="2104759654">
    <w:abstractNumId w:val="4"/>
  </w:num>
  <w:num w:numId="5" w16cid:durableId="1788234658">
    <w:abstractNumId w:val="2"/>
  </w:num>
  <w:num w:numId="6" w16cid:durableId="1498227987">
    <w:abstractNumId w:val="0"/>
  </w:num>
  <w:num w:numId="7" w16cid:durableId="2008484412">
    <w:abstractNumId w:val="1"/>
  </w:num>
  <w:num w:numId="8" w16cid:durableId="772046239">
    <w:abstractNumId w:val="8"/>
  </w:num>
  <w:num w:numId="9" w16cid:durableId="854342502">
    <w:abstractNumId w:val="6"/>
  </w:num>
  <w:num w:numId="10" w16cid:durableId="1613585325">
    <w:abstractNumId w:val="10"/>
  </w:num>
  <w:num w:numId="11" w16cid:durableId="42697118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402825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700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5E"/>
    <w:rsid w:val="000051D3"/>
    <w:rsid w:val="000079D6"/>
    <w:rsid w:val="000179E8"/>
    <w:rsid w:val="00047ECA"/>
    <w:rsid w:val="00066235"/>
    <w:rsid w:val="00075188"/>
    <w:rsid w:val="00075456"/>
    <w:rsid w:val="000962CA"/>
    <w:rsid w:val="000A4B6E"/>
    <w:rsid w:val="000B2FAB"/>
    <w:rsid w:val="000B4F48"/>
    <w:rsid w:val="000B6AB2"/>
    <w:rsid w:val="000C2F02"/>
    <w:rsid w:val="000D1325"/>
    <w:rsid w:val="00117006"/>
    <w:rsid w:val="001331D5"/>
    <w:rsid w:val="00145D71"/>
    <w:rsid w:val="00160A03"/>
    <w:rsid w:val="0016528B"/>
    <w:rsid w:val="00172BD4"/>
    <w:rsid w:val="00172CDB"/>
    <w:rsid w:val="001A1E10"/>
    <w:rsid w:val="001C75C8"/>
    <w:rsid w:val="001D68F3"/>
    <w:rsid w:val="001F5F89"/>
    <w:rsid w:val="002362E0"/>
    <w:rsid w:val="00246B58"/>
    <w:rsid w:val="0025549D"/>
    <w:rsid w:val="002A3CCE"/>
    <w:rsid w:val="002B3513"/>
    <w:rsid w:val="002C310B"/>
    <w:rsid w:val="002C5FF9"/>
    <w:rsid w:val="003553A9"/>
    <w:rsid w:val="00357D3B"/>
    <w:rsid w:val="0036498E"/>
    <w:rsid w:val="00377F1A"/>
    <w:rsid w:val="003859A8"/>
    <w:rsid w:val="00397D95"/>
    <w:rsid w:val="003A066D"/>
    <w:rsid w:val="003A1521"/>
    <w:rsid w:val="003B4B97"/>
    <w:rsid w:val="003B5FF6"/>
    <w:rsid w:val="003C4CEA"/>
    <w:rsid w:val="003C69A1"/>
    <w:rsid w:val="003E12AA"/>
    <w:rsid w:val="003F597C"/>
    <w:rsid w:val="003F5FD2"/>
    <w:rsid w:val="00410BA0"/>
    <w:rsid w:val="00412329"/>
    <w:rsid w:val="00434925"/>
    <w:rsid w:val="00440063"/>
    <w:rsid w:val="004764B5"/>
    <w:rsid w:val="00481A21"/>
    <w:rsid w:val="004C4CDC"/>
    <w:rsid w:val="004F0D67"/>
    <w:rsid w:val="00531520"/>
    <w:rsid w:val="00550DBF"/>
    <w:rsid w:val="00554162"/>
    <w:rsid w:val="00555196"/>
    <w:rsid w:val="00557345"/>
    <w:rsid w:val="00562C46"/>
    <w:rsid w:val="005652B5"/>
    <w:rsid w:val="00567D24"/>
    <w:rsid w:val="005857BD"/>
    <w:rsid w:val="005A156A"/>
    <w:rsid w:val="005E0DF2"/>
    <w:rsid w:val="005E62BD"/>
    <w:rsid w:val="00601E5D"/>
    <w:rsid w:val="00604548"/>
    <w:rsid w:val="006055AB"/>
    <w:rsid w:val="00672498"/>
    <w:rsid w:val="00687FB8"/>
    <w:rsid w:val="0069621E"/>
    <w:rsid w:val="006A5FEC"/>
    <w:rsid w:val="006B2133"/>
    <w:rsid w:val="006B5768"/>
    <w:rsid w:val="006D350D"/>
    <w:rsid w:val="006E25F1"/>
    <w:rsid w:val="006E3ACB"/>
    <w:rsid w:val="006F5F5E"/>
    <w:rsid w:val="00726D7B"/>
    <w:rsid w:val="00735A39"/>
    <w:rsid w:val="0077023D"/>
    <w:rsid w:val="00781F53"/>
    <w:rsid w:val="00787EEA"/>
    <w:rsid w:val="00790D67"/>
    <w:rsid w:val="007943AE"/>
    <w:rsid w:val="007A3B66"/>
    <w:rsid w:val="007B0DD8"/>
    <w:rsid w:val="007D6618"/>
    <w:rsid w:val="007E0013"/>
    <w:rsid w:val="007E4AFC"/>
    <w:rsid w:val="0080022F"/>
    <w:rsid w:val="00820005"/>
    <w:rsid w:val="00822C14"/>
    <w:rsid w:val="008660D0"/>
    <w:rsid w:val="00871967"/>
    <w:rsid w:val="00881A8E"/>
    <w:rsid w:val="008A4F94"/>
    <w:rsid w:val="008C3367"/>
    <w:rsid w:val="008C40FD"/>
    <w:rsid w:val="008C5425"/>
    <w:rsid w:val="0096256D"/>
    <w:rsid w:val="00973828"/>
    <w:rsid w:val="00974B88"/>
    <w:rsid w:val="00980330"/>
    <w:rsid w:val="00980835"/>
    <w:rsid w:val="00987B85"/>
    <w:rsid w:val="00987C63"/>
    <w:rsid w:val="009A2F38"/>
    <w:rsid w:val="009A2FDA"/>
    <w:rsid w:val="009A328E"/>
    <w:rsid w:val="009A3AE2"/>
    <w:rsid w:val="009B3B04"/>
    <w:rsid w:val="009C2A04"/>
    <w:rsid w:val="009C2D38"/>
    <w:rsid w:val="009C5A60"/>
    <w:rsid w:val="009E6ECE"/>
    <w:rsid w:val="009F6E1F"/>
    <w:rsid w:val="00A07FDF"/>
    <w:rsid w:val="00A21D49"/>
    <w:rsid w:val="00A45335"/>
    <w:rsid w:val="00A609CF"/>
    <w:rsid w:val="00A70BCD"/>
    <w:rsid w:val="00A77AFA"/>
    <w:rsid w:val="00AB3E98"/>
    <w:rsid w:val="00AB5E79"/>
    <w:rsid w:val="00AC38B3"/>
    <w:rsid w:val="00B3691D"/>
    <w:rsid w:val="00B538AF"/>
    <w:rsid w:val="00B62489"/>
    <w:rsid w:val="00B859A7"/>
    <w:rsid w:val="00B96467"/>
    <w:rsid w:val="00BA7E70"/>
    <w:rsid w:val="00BB1B0E"/>
    <w:rsid w:val="00BB7D49"/>
    <w:rsid w:val="00BE422C"/>
    <w:rsid w:val="00C11E9F"/>
    <w:rsid w:val="00C35508"/>
    <w:rsid w:val="00C430B6"/>
    <w:rsid w:val="00C5154F"/>
    <w:rsid w:val="00C61C92"/>
    <w:rsid w:val="00C62AF1"/>
    <w:rsid w:val="00C70D76"/>
    <w:rsid w:val="00C87AAC"/>
    <w:rsid w:val="00CB3ABA"/>
    <w:rsid w:val="00CB5045"/>
    <w:rsid w:val="00CC30A5"/>
    <w:rsid w:val="00CD2BFB"/>
    <w:rsid w:val="00CF5784"/>
    <w:rsid w:val="00D02878"/>
    <w:rsid w:val="00D05653"/>
    <w:rsid w:val="00D33C70"/>
    <w:rsid w:val="00D51B18"/>
    <w:rsid w:val="00D57B27"/>
    <w:rsid w:val="00D60070"/>
    <w:rsid w:val="00D752AA"/>
    <w:rsid w:val="00D772A4"/>
    <w:rsid w:val="00D80C12"/>
    <w:rsid w:val="00DC0654"/>
    <w:rsid w:val="00DC0665"/>
    <w:rsid w:val="00DF0751"/>
    <w:rsid w:val="00DF2E1B"/>
    <w:rsid w:val="00E045A6"/>
    <w:rsid w:val="00E52A1F"/>
    <w:rsid w:val="00E60E08"/>
    <w:rsid w:val="00E64BA9"/>
    <w:rsid w:val="00E731D1"/>
    <w:rsid w:val="00E831B3"/>
    <w:rsid w:val="00E90185"/>
    <w:rsid w:val="00E91A46"/>
    <w:rsid w:val="00EC1314"/>
    <w:rsid w:val="00EE311D"/>
    <w:rsid w:val="00EF5CBF"/>
    <w:rsid w:val="00F01226"/>
    <w:rsid w:val="00F149E7"/>
    <w:rsid w:val="00F16FFA"/>
    <w:rsid w:val="00F414DB"/>
    <w:rsid w:val="00F46DDB"/>
    <w:rsid w:val="00FA25DC"/>
    <w:rsid w:val="00FD058E"/>
    <w:rsid w:val="00FD2C49"/>
    <w:rsid w:val="00FD463F"/>
    <w:rsid w:val="00FE0C7C"/>
    <w:rsid w:val="00FF4F8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42F6"/>
  <w15:chartTrackingRefBased/>
  <w15:docId w15:val="{1CCC76D8-9BBA-4C23-8B66-2209BEA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F5E"/>
    <w:pPr>
      <w:tabs>
        <w:tab w:val="center" w:pos="4536"/>
        <w:tab w:val="right" w:pos="9072"/>
      </w:tabs>
      <w:spacing w:after="0" w:line="240" w:lineRule="auto"/>
    </w:pPr>
  </w:style>
  <w:style w:type="character" w:customStyle="1" w:styleId="En-tteCar">
    <w:name w:val="En-tête Car"/>
    <w:basedOn w:val="Policepardfaut"/>
    <w:link w:val="En-tte"/>
    <w:uiPriority w:val="99"/>
    <w:rsid w:val="006F5F5E"/>
  </w:style>
  <w:style w:type="paragraph" w:styleId="Pieddepage">
    <w:name w:val="footer"/>
    <w:basedOn w:val="Normal"/>
    <w:link w:val="PieddepageCar"/>
    <w:uiPriority w:val="99"/>
    <w:unhideWhenUsed/>
    <w:rsid w:val="006F5F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F5E"/>
  </w:style>
  <w:style w:type="paragraph" w:styleId="Paragraphedeliste">
    <w:name w:val="List Paragraph"/>
    <w:basedOn w:val="Normal"/>
    <w:link w:val="ParagraphedelisteCar"/>
    <w:uiPriority w:val="34"/>
    <w:qFormat/>
    <w:rsid w:val="008C40FD"/>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rsid w:val="008C40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8C40FD"/>
    <w:rPr>
      <w:rFonts w:ascii="Arial" w:eastAsia="Arial" w:hAnsi="Arial" w:cs="Arial"/>
    </w:rPr>
  </w:style>
  <w:style w:type="character" w:styleId="Lienhypertexte">
    <w:name w:val="Hyperlink"/>
    <w:basedOn w:val="Policepardfaut"/>
    <w:uiPriority w:val="99"/>
    <w:semiHidden/>
    <w:unhideWhenUsed/>
    <w:rsid w:val="0025549D"/>
    <w:rPr>
      <w:color w:val="0000FF"/>
      <w:u w:val="single"/>
    </w:rPr>
  </w:style>
  <w:style w:type="character" w:customStyle="1" w:styleId="wbzude">
    <w:name w:val="wbzude"/>
    <w:basedOn w:val="Policepardfaut"/>
    <w:rsid w:val="008A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014">
      <w:bodyDiv w:val="1"/>
      <w:marLeft w:val="0"/>
      <w:marRight w:val="0"/>
      <w:marTop w:val="0"/>
      <w:marBottom w:val="0"/>
      <w:divBdr>
        <w:top w:val="none" w:sz="0" w:space="0" w:color="auto"/>
        <w:left w:val="none" w:sz="0" w:space="0" w:color="auto"/>
        <w:bottom w:val="none" w:sz="0" w:space="0" w:color="auto"/>
        <w:right w:val="none" w:sz="0" w:space="0" w:color="auto"/>
      </w:divBdr>
    </w:div>
    <w:div w:id="1273054114">
      <w:bodyDiv w:val="1"/>
      <w:marLeft w:val="0"/>
      <w:marRight w:val="0"/>
      <w:marTop w:val="0"/>
      <w:marBottom w:val="0"/>
      <w:divBdr>
        <w:top w:val="none" w:sz="0" w:space="0" w:color="auto"/>
        <w:left w:val="none" w:sz="0" w:space="0" w:color="auto"/>
        <w:bottom w:val="none" w:sz="0" w:space="0" w:color="auto"/>
        <w:right w:val="none" w:sz="0" w:space="0" w:color="auto"/>
      </w:divBdr>
    </w:div>
    <w:div w:id="1329287862">
      <w:bodyDiv w:val="1"/>
      <w:marLeft w:val="0"/>
      <w:marRight w:val="0"/>
      <w:marTop w:val="0"/>
      <w:marBottom w:val="0"/>
      <w:divBdr>
        <w:top w:val="none" w:sz="0" w:space="0" w:color="auto"/>
        <w:left w:val="none" w:sz="0" w:space="0" w:color="auto"/>
        <w:bottom w:val="none" w:sz="0" w:space="0" w:color="auto"/>
        <w:right w:val="none" w:sz="0" w:space="0" w:color="auto"/>
      </w:divBdr>
    </w:div>
    <w:div w:id="1606306196">
      <w:bodyDiv w:val="1"/>
      <w:marLeft w:val="0"/>
      <w:marRight w:val="0"/>
      <w:marTop w:val="0"/>
      <w:marBottom w:val="0"/>
      <w:divBdr>
        <w:top w:val="none" w:sz="0" w:space="0" w:color="auto"/>
        <w:left w:val="none" w:sz="0" w:space="0" w:color="auto"/>
        <w:bottom w:val="none" w:sz="0" w:space="0" w:color="auto"/>
        <w:right w:val="none" w:sz="0" w:space="0" w:color="auto"/>
      </w:divBdr>
    </w:div>
    <w:div w:id="1720745653">
      <w:bodyDiv w:val="1"/>
      <w:marLeft w:val="0"/>
      <w:marRight w:val="0"/>
      <w:marTop w:val="0"/>
      <w:marBottom w:val="0"/>
      <w:divBdr>
        <w:top w:val="none" w:sz="0" w:space="0" w:color="auto"/>
        <w:left w:val="none" w:sz="0" w:space="0" w:color="auto"/>
        <w:bottom w:val="none" w:sz="0" w:space="0" w:color="auto"/>
        <w:right w:val="none" w:sz="0" w:space="0" w:color="auto"/>
      </w:divBdr>
    </w:div>
    <w:div w:id="2142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E24BBC3FB5A4DAC567CC77EB88897" ma:contentTypeVersion="13" ma:contentTypeDescription="Crée un document." ma:contentTypeScope="" ma:versionID="ac004def44837e6545ad79e3a830254a">
  <xsd:schema xmlns:xsd="http://www.w3.org/2001/XMLSchema" xmlns:xs="http://www.w3.org/2001/XMLSchema" xmlns:p="http://schemas.microsoft.com/office/2006/metadata/properties" xmlns:ns2="436ae7b4-ce91-4b43-a106-c4f0147c3aae" xmlns:ns3="2141d9df-8d02-4a41-b233-7479bdf222bb" targetNamespace="http://schemas.microsoft.com/office/2006/metadata/properties" ma:root="true" ma:fieldsID="2419e5188c35da14d73c2486d0b38b22" ns2:_="" ns3:_="">
    <xsd:import namespace="436ae7b4-ce91-4b43-a106-c4f0147c3aae"/>
    <xsd:import namespace="2141d9df-8d02-4a41-b233-7479bdf22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e7b4-ce91-4b43-a106-c4f0147c3aa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11f8ea70-c59b-4390-a3f0-0c139ebac2fd}" ma:internalName="TaxCatchAll" ma:showField="CatchAllData" ma:web="436ae7b4-ce91-4b43-a106-c4f0147c3a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1d9df-8d02-4a41-b233-7479bdf22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f52b996-ed69-41b8-ba85-e9707148ba0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36ae7b4-ce91-4b43-a106-c4f0147c3aae">W6EHYKACRYEC-801239382-249822</_dlc_DocId>
    <_dlc_DocIdUrl xmlns="436ae7b4-ce91-4b43-a106-c4f0147c3aae">
      <Url>https://aquantis365.sharepoint.com/sites/COMMUN/_layouts/15/DocIdRedir.aspx?ID=W6EHYKACRYEC-801239382-249822</Url>
      <Description>W6EHYKACRYEC-801239382-249822</Description>
    </_dlc_DocIdUrl>
    <TaxCatchAll xmlns="436ae7b4-ce91-4b43-a106-c4f0147c3aae" xsi:nil="true"/>
    <lcf76f155ced4ddcb4097134ff3c332f xmlns="2141d9df-8d02-4a41-b233-7479bdf222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D9CA1-DEF8-4533-9115-960FDABA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e7b4-ce91-4b43-a106-c4f0147c3aae"/>
    <ds:schemaRef ds:uri="2141d9df-8d02-4a41-b233-7479bdf22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9CFB2-9FEA-4CAC-A1E3-5F4E78B450B9}">
  <ds:schemaRefs>
    <ds:schemaRef ds:uri="http://schemas.microsoft.com/sharepoint/events"/>
  </ds:schemaRefs>
</ds:datastoreItem>
</file>

<file path=customXml/itemProps3.xml><?xml version="1.0" encoding="utf-8"?>
<ds:datastoreItem xmlns:ds="http://schemas.openxmlformats.org/officeDocument/2006/customXml" ds:itemID="{9FF70DC5-B458-4199-8D8E-D5DDC2339012}">
  <ds:schemaRefs>
    <ds:schemaRef ds:uri="http://schemas.microsoft.com/office/2006/metadata/properties"/>
    <ds:schemaRef ds:uri="http://schemas.microsoft.com/office/infopath/2007/PartnerControls"/>
    <ds:schemaRef ds:uri="436ae7b4-ce91-4b43-a106-c4f0147c3aae"/>
    <ds:schemaRef ds:uri="2141d9df-8d02-4a41-b233-7479bdf222bb"/>
  </ds:schemaRefs>
</ds:datastoreItem>
</file>

<file path=customXml/itemProps4.xml><?xml version="1.0" encoding="utf-8"?>
<ds:datastoreItem xmlns:ds="http://schemas.openxmlformats.org/officeDocument/2006/customXml" ds:itemID="{8ED5701F-FEE0-48C8-BE49-764408582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1740</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Vincent Gautier</cp:lastModifiedBy>
  <cp:revision>4</cp:revision>
  <cp:lastPrinted>2022-06-23T12:33:00Z</cp:lastPrinted>
  <dcterms:created xsi:type="dcterms:W3CDTF">2022-09-30T04:10:00Z</dcterms:created>
  <dcterms:modified xsi:type="dcterms:W3CDTF">2022-09-30T04:50:00Z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0x0101000C4E24BBC3FB5A4DAC567CC77EB88897</vt:lpwstr>
  </property>
  <property fmtid="{D5CDD505-2E9C-101B-9397-08002B2CF9AE}" pid="3" name="Order">
    <vt:r8>51600</vt:r8>
  </property>
  <property fmtid="{D5CDD505-2E9C-101B-9397-08002B2CF9AE}" pid="4" name="_dlc_DocIdItemGuid">
    <vt:lpwstr>66733506-c5f1-43a2-bab1-dcf1015440e7</vt:lpwstr>
  </property>
</Properties>
</file>